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0"/>
        <w:ind w:left="3467" w:right="3466" w:firstLine="3"/>
        <w:jc w:val="center"/>
        <w:rPr>
          <w:sz w:val="28"/>
        </w:rPr>
      </w:pPr>
      <w:r>
        <w:rPr>
          <w:sz w:val="28"/>
        </w:rPr>
        <w:t>McMaster University Department of Sociology</w:t>
      </w:r>
    </w:p>
    <w:p>
      <w:pPr>
        <w:spacing w:before="0"/>
        <w:ind w:left="1337" w:right="1337" w:firstLine="0"/>
        <w:jc w:val="center"/>
        <w:rPr>
          <w:sz w:val="28"/>
        </w:rPr>
      </w:pPr>
      <w:r>
        <w:rPr>
          <w:sz w:val="28"/>
        </w:rPr>
        <w:t>Sociology 4NN3: Meeting the Challenge of a Changing Climate Winter 2023</w:t>
      </w:r>
    </w:p>
    <w:p>
      <w:pPr>
        <w:pStyle w:val="BodyText"/>
        <w:spacing w:before="5"/>
        <w:ind w:left="0"/>
        <w:rPr>
          <w:sz w:val="25"/>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5"/>
        <w:gridCol w:w="4089"/>
      </w:tblGrid>
      <w:tr>
        <w:trPr>
          <w:trHeight w:val="244" w:hRule="atLeast"/>
        </w:trPr>
        <w:tc>
          <w:tcPr>
            <w:tcW w:w="4835" w:type="dxa"/>
          </w:tcPr>
          <w:p>
            <w:pPr>
              <w:pStyle w:val="TableParagraph"/>
              <w:spacing w:line="225" w:lineRule="exact"/>
              <w:ind w:left="200"/>
              <w:rPr>
                <w:b/>
                <w:sz w:val="22"/>
              </w:rPr>
            </w:pPr>
            <w:r>
              <w:rPr>
                <w:b/>
                <w:sz w:val="22"/>
              </w:rPr>
              <w:t>Instructor: Dr. Gregory Hooks</w:t>
            </w:r>
          </w:p>
        </w:tc>
        <w:tc>
          <w:tcPr>
            <w:tcW w:w="4089" w:type="dxa"/>
          </w:tcPr>
          <w:p>
            <w:pPr>
              <w:pStyle w:val="TableParagraph"/>
              <w:spacing w:line="225" w:lineRule="exact"/>
              <w:ind w:left="225"/>
              <w:rPr>
                <w:b/>
                <w:sz w:val="22"/>
              </w:rPr>
            </w:pPr>
            <w:hyperlink r:id="rId6">
              <w:r>
                <w:rPr>
                  <w:b/>
                  <w:sz w:val="22"/>
                </w:rPr>
                <w:t>ghooks@mcmaster.ca</w:t>
              </w:r>
            </w:hyperlink>
          </w:p>
        </w:tc>
      </w:tr>
      <w:tr>
        <w:trPr>
          <w:trHeight w:val="268" w:hRule="atLeast"/>
        </w:trPr>
        <w:tc>
          <w:tcPr>
            <w:tcW w:w="4835" w:type="dxa"/>
          </w:tcPr>
          <w:p>
            <w:pPr>
              <w:pStyle w:val="TableParagraph"/>
              <w:spacing w:line="249" w:lineRule="exact"/>
              <w:ind w:left="200"/>
              <w:rPr>
                <w:b/>
                <w:sz w:val="22"/>
              </w:rPr>
            </w:pPr>
            <w:r>
              <w:rPr>
                <w:b/>
                <w:sz w:val="22"/>
              </w:rPr>
              <w:t>Class meeting time: Tuesday, 7:00pm – 10:00pm</w:t>
            </w:r>
          </w:p>
        </w:tc>
        <w:tc>
          <w:tcPr>
            <w:tcW w:w="4089" w:type="dxa"/>
          </w:tcPr>
          <w:p>
            <w:pPr>
              <w:pStyle w:val="TableParagraph"/>
              <w:spacing w:line="249" w:lineRule="exact"/>
              <w:ind w:left="225"/>
              <w:rPr>
                <w:b/>
                <w:sz w:val="22"/>
              </w:rPr>
            </w:pPr>
            <w:r>
              <w:rPr>
                <w:b/>
                <w:sz w:val="22"/>
              </w:rPr>
              <w:t>Office Hours: Tuesday, 4:00pm - 5:00pm</w:t>
            </w:r>
          </w:p>
        </w:tc>
      </w:tr>
      <w:tr>
        <w:trPr>
          <w:trHeight w:val="244" w:hRule="atLeast"/>
        </w:trPr>
        <w:tc>
          <w:tcPr>
            <w:tcW w:w="4835" w:type="dxa"/>
          </w:tcPr>
          <w:p>
            <w:pPr>
              <w:pStyle w:val="TableParagraph"/>
              <w:spacing w:line="225" w:lineRule="exact"/>
              <w:ind w:left="200"/>
              <w:rPr>
                <w:sz w:val="22"/>
              </w:rPr>
            </w:pPr>
            <w:r>
              <w:rPr>
                <w:b/>
                <w:sz w:val="22"/>
              </w:rPr>
              <w:t>Classroom: </w:t>
            </w:r>
            <w:r>
              <w:rPr>
                <w:sz w:val="22"/>
              </w:rPr>
              <w:t>Wilson Hall, Room 5012 (LRW-5012)</w:t>
            </w:r>
          </w:p>
        </w:tc>
        <w:tc>
          <w:tcPr>
            <w:tcW w:w="4089" w:type="dxa"/>
          </w:tcPr>
          <w:p>
            <w:pPr>
              <w:pStyle w:val="TableParagraph"/>
              <w:spacing w:line="225" w:lineRule="exact"/>
              <w:ind w:left="1453" w:right="1843"/>
              <w:jc w:val="center"/>
              <w:rPr>
                <w:b/>
                <w:sz w:val="22"/>
              </w:rPr>
            </w:pPr>
            <w:r>
              <w:rPr>
                <w:b/>
                <w:sz w:val="22"/>
              </w:rPr>
              <w:t>603 KTH</w:t>
            </w:r>
          </w:p>
        </w:tc>
      </w:tr>
    </w:tbl>
    <w:p>
      <w:pPr>
        <w:pStyle w:val="BodyText"/>
        <w:spacing w:before="4"/>
        <w:ind w:left="0"/>
      </w:pPr>
    </w:p>
    <w:p>
      <w:pPr>
        <w:pStyle w:val="Heading3"/>
        <w:spacing w:before="0"/>
      </w:pPr>
      <w:r>
        <w:rPr/>
        <w:t>Course Description</w:t>
      </w:r>
    </w:p>
    <w:p>
      <w:pPr>
        <w:pStyle w:val="BodyText"/>
        <w:spacing w:before="8"/>
        <w:ind w:left="0"/>
        <w:rPr>
          <w:b/>
          <w:sz w:val="25"/>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4"/>
        <w:gridCol w:w="4706"/>
      </w:tblGrid>
      <w:tr>
        <w:trPr>
          <w:trHeight w:val="2119" w:hRule="atLeast"/>
        </w:trPr>
        <w:tc>
          <w:tcPr>
            <w:tcW w:w="4844" w:type="dxa"/>
          </w:tcPr>
          <w:p>
            <w:pPr>
              <w:pStyle w:val="TableParagraph"/>
              <w:spacing w:line="225" w:lineRule="exact"/>
              <w:ind w:left="200"/>
              <w:rPr>
                <w:sz w:val="22"/>
              </w:rPr>
            </w:pPr>
            <w:r>
              <w:rPr>
                <w:color w:val="2E5395"/>
                <w:sz w:val="22"/>
              </w:rPr>
              <w:t>Climate change is having a dramatic impact for</w:t>
            </w:r>
          </w:p>
          <w:p>
            <w:pPr>
              <w:pStyle w:val="TableParagraph"/>
              <w:spacing w:line="240" w:lineRule="auto" w:before="1"/>
              <w:ind w:left="200" w:right="124"/>
              <w:rPr>
                <w:i/>
                <w:sz w:val="22"/>
              </w:rPr>
            </w:pPr>
            <w:r>
              <w:rPr>
                <w:color w:val="2E5395"/>
                <w:sz w:val="22"/>
              </w:rPr>
              <w:t>Indigenous peoples in Canada. Because of the geographic location of many of our communities and our relationship to the land and environment, our reliance on traditional foods and resources, we are the first to experience the impacts of climate change -- </w:t>
            </w:r>
            <w:r>
              <w:rPr>
                <w:i/>
                <w:color w:val="2E5395"/>
                <w:sz w:val="22"/>
              </w:rPr>
              <w:t>Ghislain Picard, Assembly of</w:t>
            </w:r>
            <w:r>
              <w:rPr>
                <w:i/>
                <w:color w:val="2E5395"/>
                <w:spacing w:val="-16"/>
                <w:sz w:val="22"/>
              </w:rPr>
              <w:t> </w:t>
            </w:r>
            <w:r>
              <w:rPr>
                <w:i/>
                <w:color w:val="2E5395"/>
                <w:sz w:val="22"/>
              </w:rPr>
              <w:t>First</w:t>
            </w:r>
          </w:p>
          <w:p>
            <w:pPr>
              <w:pStyle w:val="TableParagraph"/>
              <w:spacing w:line="245" w:lineRule="exact" w:before="18"/>
              <w:ind w:left="200"/>
              <w:rPr>
                <w:i/>
                <w:sz w:val="22"/>
              </w:rPr>
            </w:pPr>
            <w:r>
              <w:rPr>
                <w:i/>
                <w:color w:val="2E5395"/>
                <w:sz w:val="22"/>
              </w:rPr>
              <w:t>Nations National Chief</w:t>
            </w:r>
          </w:p>
        </w:tc>
        <w:tc>
          <w:tcPr>
            <w:tcW w:w="4706" w:type="dxa"/>
          </w:tcPr>
          <w:p>
            <w:pPr>
              <w:pStyle w:val="TableParagraph"/>
              <w:spacing w:line="225" w:lineRule="exact"/>
              <w:ind w:left="125"/>
              <w:rPr>
                <w:sz w:val="22"/>
              </w:rPr>
            </w:pPr>
            <w:r>
              <w:rPr>
                <w:color w:val="2E5395"/>
                <w:sz w:val="22"/>
              </w:rPr>
              <w:t>Adults keep saying we owe it to the young</w:t>
            </w:r>
          </w:p>
          <w:p>
            <w:pPr>
              <w:pStyle w:val="TableParagraph"/>
              <w:spacing w:line="240" w:lineRule="auto" w:before="1"/>
              <w:ind w:left="125" w:right="183"/>
              <w:rPr>
                <w:i/>
                <w:sz w:val="22"/>
              </w:rPr>
            </w:pPr>
            <w:r>
              <w:rPr>
                <w:color w:val="2E5395"/>
                <w:sz w:val="22"/>
              </w:rPr>
              <w:t>people, to give them hope, but I don’t want your hope. I don’t want you to be hopeful. I want you to panic. I want you to feel the fear I feel every day. I want you to act. I want you to act as you would in a crisis. I want you to act as if the house is on fire, because it is -- </w:t>
            </w:r>
            <w:r>
              <w:rPr>
                <w:i/>
                <w:color w:val="2E5395"/>
                <w:sz w:val="22"/>
              </w:rPr>
              <w:t>Greta Thunberg, climate</w:t>
            </w:r>
          </w:p>
          <w:p>
            <w:pPr>
              <w:pStyle w:val="TableParagraph"/>
              <w:spacing w:line="263" w:lineRule="exact"/>
              <w:ind w:left="125"/>
              <w:rPr>
                <w:i/>
                <w:sz w:val="22"/>
              </w:rPr>
            </w:pPr>
            <w:r>
              <w:rPr>
                <w:i/>
                <w:color w:val="2E5395"/>
                <w:sz w:val="22"/>
              </w:rPr>
              <w:t>activist.</w:t>
            </w:r>
          </w:p>
        </w:tc>
      </w:tr>
    </w:tbl>
    <w:p>
      <w:pPr>
        <w:pStyle w:val="BodyText"/>
        <w:spacing w:before="9"/>
        <w:ind w:left="0"/>
        <w:rPr>
          <w:b/>
        </w:rPr>
      </w:pPr>
    </w:p>
    <w:p>
      <w:pPr>
        <w:pStyle w:val="BodyText"/>
        <w:ind w:left="200" w:right="236"/>
      </w:pPr>
      <w:r>
        <w:rPr/>
        <w:t>Climate change poses the greatest material and symbolic threat that our species has ever encountered. There is a strong consensus among physical scientists that human actions (especially the reliance on fossil fuels and release of greenhouse gases) cause ecosystem and societal disruptions, including but not limited to: declining snowpacks, intensification of fire seasons, rising sea levels, heightened risk of infectious diseases (e.g., malaria), and increases in the intensity of natural disasters. These changes and human encroachment on ecosystems are driving a mass extinction of insects, birds, reptiles, amphibians, and mammals. These changes are also disrupting human societies, causing a surge in climate refugees, challenging social institutions, and undermining social</w:t>
      </w:r>
      <w:r>
        <w:rPr>
          <w:spacing w:val="-8"/>
        </w:rPr>
        <w:t> </w:t>
      </w:r>
      <w:r>
        <w:rPr/>
        <w:t>stability.</w:t>
      </w:r>
    </w:p>
    <w:p>
      <w:pPr>
        <w:pStyle w:val="BodyText"/>
        <w:spacing w:before="12"/>
        <w:ind w:left="0"/>
        <w:rPr>
          <w:sz w:val="23"/>
        </w:rPr>
      </w:pPr>
    </w:p>
    <w:p>
      <w:pPr>
        <w:pStyle w:val="BodyText"/>
        <w:ind w:left="200" w:right="235"/>
      </w:pPr>
      <w:r>
        <w:rPr/>
        <w:t>We will reflect on several dilemmas. First, why, despite dire warnings from the scientific community, human social and political response to ecological degradation remains wholly inadequate? Second, how has the specter of climate change re-shaped the public sphere? Third, can social institutions and societies be transformed to reduce emissions to levels needed to avoid catastrophic climate</w:t>
      </w:r>
      <w:r>
        <w:rPr>
          <w:spacing w:val="-21"/>
        </w:rPr>
        <w:t> </w:t>
      </w:r>
      <w:r>
        <w:rPr/>
        <w:t>scenarios?</w:t>
      </w:r>
    </w:p>
    <w:p>
      <w:pPr>
        <w:pStyle w:val="BodyText"/>
        <w:spacing w:before="1"/>
        <w:ind w:left="0"/>
      </w:pPr>
    </w:p>
    <w:p>
      <w:pPr>
        <w:pStyle w:val="BodyText"/>
        <w:ind w:left="200" w:right="235"/>
      </w:pPr>
      <w:r>
        <w:rPr/>
        <w:t>This course is focused on meeting the challenges of climate change and how sociology can help us understand the social ramifications of climate change. We will also examine how (if) social institutions and structures can be adapted to address these intertwined and overlapping crises. Finally, this course will highlight the ways that individuals can make a difference – with an ongoing emphasis on how and why we can talk about climate change with friends, family, political leaders, and other decision</w:t>
      </w:r>
      <w:r>
        <w:rPr>
          <w:spacing w:val="-25"/>
        </w:rPr>
        <w:t> </w:t>
      </w:r>
      <w:r>
        <w:rPr/>
        <w:t>makers.</w:t>
      </w:r>
    </w:p>
    <w:p>
      <w:pPr>
        <w:pStyle w:val="BodyText"/>
        <w:spacing w:before="7"/>
        <w:ind w:left="0"/>
        <w:rPr>
          <w:sz w:val="25"/>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8"/>
        <w:gridCol w:w="4057"/>
      </w:tblGrid>
      <w:tr>
        <w:trPr>
          <w:trHeight w:val="1296" w:hRule="atLeast"/>
        </w:trPr>
        <w:tc>
          <w:tcPr>
            <w:tcW w:w="5218" w:type="dxa"/>
          </w:tcPr>
          <w:p>
            <w:pPr>
              <w:pStyle w:val="TableParagraph"/>
              <w:spacing w:line="225" w:lineRule="exact"/>
              <w:ind w:left="200"/>
              <w:rPr>
                <w:sz w:val="22"/>
              </w:rPr>
            </w:pPr>
            <w:r>
              <w:rPr>
                <w:color w:val="2E5395"/>
                <w:sz w:val="22"/>
              </w:rPr>
              <w:t>Climate change is the single greatest threat to a</w:t>
            </w:r>
          </w:p>
          <w:p>
            <w:pPr>
              <w:pStyle w:val="TableParagraph"/>
              <w:spacing w:line="270" w:lineRule="atLeast"/>
              <w:ind w:left="200" w:right="92"/>
              <w:rPr>
                <w:i/>
                <w:sz w:val="22"/>
              </w:rPr>
            </w:pPr>
            <w:r>
              <w:rPr>
                <w:color w:val="2E5395"/>
                <w:sz w:val="22"/>
              </w:rPr>
              <w:t>sustainable future but, at the same time, addressing the climate challenge presents a golden opportunity to promote prosperity, security and a brighter future for all -- </w:t>
            </w:r>
            <w:r>
              <w:rPr>
                <w:i/>
                <w:color w:val="2E5395"/>
                <w:sz w:val="22"/>
              </w:rPr>
              <w:t>Ban Ki-Moon, Former Secretary-General of UN.</w:t>
            </w:r>
          </w:p>
        </w:tc>
        <w:tc>
          <w:tcPr>
            <w:tcW w:w="4057" w:type="dxa"/>
          </w:tcPr>
          <w:p>
            <w:pPr>
              <w:pStyle w:val="TableParagraph"/>
              <w:spacing w:line="225" w:lineRule="exact"/>
              <w:ind w:left="111"/>
              <w:rPr>
                <w:sz w:val="22"/>
              </w:rPr>
            </w:pPr>
            <w:r>
              <w:rPr>
                <w:color w:val="2E5395"/>
                <w:sz w:val="22"/>
              </w:rPr>
              <w:t>Pollution and climate change by excessive</w:t>
            </w:r>
          </w:p>
          <w:p>
            <w:pPr>
              <w:pStyle w:val="TableParagraph"/>
              <w:spacing w:line="240" w:lineRule="auto"/>
              <w:ind w:left="111" w:right="182"/>
              <w:rPr>
                <w:sz w:val="22"/>
              </w:rPr>
            </w:pPr>
            <w:r>
              <w:rPr>
                <w:color w:val="2E5395"/>
                <w:sz w:val="22"/>
              </w:rPr>
              <w:t>burning of fossil fuels are real threats, not the people who warn that we must take</w:t>
            </w:r>
          </w:p>
          <w:p>
            <w:pPr>
              <w:pStyle w:val="TableParagraph"/>
              <w:spacing w:line="270" w:lineRule="atLeast"/>
              <w:ind w:left="111" w:right="397"/>
              <w:rPr>
                <w:i/>
                <w:sz w:val="22"/>
              </w:rPr>
            </w:pPr>
            <w:r>
              <w:rPr>
                <w:color w:val="2E5395"/>
                <w:sz w:val="22"/>
              </w:rPr>
              <w:t>these threats seriously” -- </w:t>
            </w:r>
            <w:r>
              <w:rPr>
                <w:i/>
                <w:color w:val="2E5395"/>
                <w:sz w:val="22"/>
              </w:rPr>
              <w:t>David Suzuki, </w:t>
            </w:r>
            <w:r>
              <w:rPr>
                <w:i/>
                <w:color w:val="2E5395"/>
                <w:sz w:val="22"/>
              </w:rPr>
              <w:t>scientist and environmentalist.</w:t>
            </w:r>
          </w:p>
        </w:tc>
      </w:tr>
    </w:tbl>
    <w:p>
      <w:pPr>
        <w:spacing w:after="0" w:line="270" w:lineRule="atLeast"/>
        <w:rPr>
          <w:sz w:val="22"/>
        </w:rPr>
        <w:sectPr>
          <w:footerReference w:type="default" r:id="rId5"/>
          <w:type w:val="continuous"/>
          <w:pgSz w:w="12240" w:h="15840"/>
          <w:pgMar w:footer="1044" w:top="1420" w:bottom="1240" w:left="1240" w:right="1240"/>
          <w:pgNumType w:start="1"/>
        </w:sectPr>
      </w:pPr>
    </w:p>
    <w:p>
      <w:pPr>
        <w:pStyle w:val="Heading3"/>
      </w:pPr>
      <w:r>
        <w:rPr/>
        <w:t>Course Requirements</w:t>
      </w:r>
    </w:p>
    <w:p>
      <w:pPr>
        <w:pStyle w:val="ListParagraph"/>
        <w:numPr>
          <w:ilvl w:val="0"/>
          <w:numId w:val="1"/>
        </w:numPr>
        <w:tabs>
          <w:tab w:pos="560" w:val="left" w:leader="none"/>
          <w:tab w:pos="561" w:val="left" w:leader="none"/>
        </w:tabs>
        <w:spacing w:line="240" w:lineRule="auto" w:before="1" w:after="0"/>
        <w:ind w:left="560" w:right="0" w:hanging="361"/>
        <w:jc w:val="left"/>
        <w:rPr>
          <w:rFonts w:ascii="Symbol" w:hAnsi="Symbol"/>
          <w:sz w:val="22"/>
        </w:rPr>
      </w:pPr>
      <w:r>
        <w:rPr>
          <w:sz w:val="22"/>
        </w:rPr>
        <w:t>Climate change scenario I (in-class, January 10):</w:t>
      </w:r>
      <w:r>
        <w:rPr>
          <w:spacing w:val="-2"/>
          <w:sz w:val="22"/>
        </w:rPr>
        <w:t> </w:t>
      </w:r>
      <w:r>
        <w:rPr>
          <w:sz w:val="22"/>
        </w:rPr>
        <w:t>7%</w:t>
      </w:r>
    </w:p>
    <w:p>
      <w:pPr>
        <w:pStyle w:val="ListParagraph"/>
        <w:numPr>
          <w:ilvl w:val="0"/>
          <w:numId w:val="1"/>
        </w:numPr>
        <w:tabs>
          <w:tab w:pos="560" w:val="left" w:leader="none"/>
          <w:tab w:pos="561" w:val="left" w:leader="none"/>
        </w:tabs>
        <w:spacing w:line="240" w:lineRule="auto" w:before="22" w:after="0"/>
        <w:ind w:left="560" w:right="0" w:hanging="361"/>
        <w:jc w:val="left"/>
        <w:rPr>
          <w:rFonts w:ascii="Symbol" w:hAnsi="Symbol"/>
          <w:sz w:val="22"/>
        </w:rPr>
      </w:pPr>
      <w:r>
        <w:rPr>
          <w:sz w:val="22"/>
        </w:rPr>
        <w:t>Midterm exam (in-class, February 28):</w:t>
      </w:r>
      <w:r>
        <w:rPr>
          <w:spacing w:val="-2"/>
          <w:sz w:val="22"/>
        </w:rPr>
        <w:t> </w:t>
      </w:r>
      <w:r>
        <w:rPr>
          <w:sz w:val="22"/>
        </w:rPr>
        <w:t>27%</w:t>
      </w:r>
    </w:p>
    <w:p>
      <w:pPr>
        <w:pStyle w:val="ListParagraph"/>
        <w:numPr>
          <w:ilvl w:val="0"/>
          <w:numId w:val="1"/>
        </w:numPr>
        <w:tabs>
          <w:tab w:pos="560" w:val="left" w:leader="none"/>
          <w:tab w:pos="561" w:val="left" w:leader="none"/>
        </w:tabs>
        <w:spacing w:line="240" w:lineRule="auto" w:before="20" w:after="0"/>
        <w:ind w:left="560" w:right="0" w:hanging="361"/>
        <w:jc w:val="left"/>
        <w:rPr>
          <w:rFonts w:ascii="Symbol" w:hAnsi="Symbol"/>
          <w:sz w:val="22"/>
        </w:rPr>
      </w:pPr>
      <w:r>
        <w:rPr>
          <w:sz w:val="22"/>
        </w:rPr>
        <w:t>Participation (completion of weekly online discussion questions):</w:t>
      </w:r>
      <w:r>
        <w:rPr>
          <w:spacing w:val="-14"/>
          <w:sz w:val="22"/>
        </w:rPr>
        <w:t> </w:t>
      </w:r>
      <w:r>
        <w:rPr>
          <w:sz w:val="22"/>
        </w:rPr>
        <w:t>8%</w:t>
      </w:r>
    </w:p>
    <w:p>
      <w:pPr>
        <w:pStyle w:val="ListParagraph"/>
        <w:numPr>
          <w:ilvl w:val="0"/>
          <w:numId w:val="1"/>
        </w:numPr>
        <w:tabs>
          <w:tab w:pos="560" w:val="left" w:leader="none"/>
          <w:tab w:pos="561" w:val="left" w:leader="none"/>
        </w:tabs>
        <w:spacing w:line="240" w:lineRule="auto" w:before="22" w:after="0"/>
        <w:ind w:left="560" w:right="0" w:hanging="361"/>
        <w:jc w:val="left"/>
        <w:rPr>
          <w:rFonts w:ascii="Symbol" w:hAnsi="Symbol"/>
          <w:sz w:val="22"/>
        </w:rPr>
      </w:pPr>
      <w:r>
        <w:rPr>
          <w:sz w:val="22"/>
        </w:rPr>
        <w:t>Talking about climate change (2 options are available; details provided in class):</w:t>
      </w:r>
      <w:r>
        <w:rPr>
          <w:spacing w:val="-12"/>
          <w:sz w:val="22"/>
        </w:rPr>
        <w:t> </w:t>
      </w:r>
      <w:r>
        <w:rPr>
          <w:sz w:val="22"/>
        </w:rPr>
        <w:t>16%</w:t>
      </w:r>
    </w:p>
    <w:p>
      <w:pPr>
        <w:pStyle w:val="BodyText"/>
        <w:spacing w:line="259" w:lineRule="auto" w:before="19"/>
        <w:ind w:left="920" w:right="235"/>
      </w:pPr>
      <w:r>
        <w:rPr>
          <w:b/>
          <w:i/>
        </w:rPr>
        <w:t>Option 1: </w:t>
      </w:r>
      <w:r>
        <w:rPr/>
        <w:t>Complete “Mastering EN-ROADS” training </w:t>
      </w:r>
      <w:hyperlink r:id="rId7">
        <w:r>
          <w:rPr>
            <w:color w:val="0462C1"/>
            <w:u w:val="single" w:color="0462C1"/>
          </w:rPr>
          <w:t>https://learn.climateinteractive.org/course/mastering-en-roads</w:t>
        </w:r>
      </w:hyperlink>
      <w:r>
        <w:rPr/>
        <w:t>) and facilitate a climate event. </w:t>
      </w:r>
      <w:r>
        <w:rPr>
          <w:b/>
          <w:i/>
        </w:rPr>
        <w:t>Option 2: </w:t>
      </w:r>
      <w:r>
        <w:rPr/>
        <w:t>Service learning (approximately 40 hours) with an organization that is addressing climate change. I am currently exploring options and will share service-learning opportunities in class. Students have the option of finding a service-learning opportunity on their own (in consultation with and the approval of instructor).</w:t>
      </w:r>
    </w:p>
    <w:p>
      <w:pPr>
        <w:pStyle w:val="BodyText"/>
        <w:spacing w:line="268" w:lineRule="exact"/>
      </w:pPr>
      <w:r>
        <w:rPr/>
        <w:t>For both </w:t>
      </w:r>
      <w:r>
        <w:rPr>
          <w:b/>
          <w:i/>
        </w:rPr>
        <w:t>Option 1 </w:t>
      </w:r>
      <w:r>
        <w:rPr/>
        <w:t>and </w:t>
      </w:r>
      <w:r>
        <w:rPr>
          <w:b/>
          <w:i/>
        </w:rPr>
        <w:t>Option 2</w:t>
      </w:r>
      <w:r>
        <w:rPr/>
        <w:t>, students will submit a “Reflection Paper” that summarizes the</w:t>
      </w:r>
    </w:p>
    <w:p>
      <w:pPr>
        <w:pStyle w:val="BodyText"/>
        <w:spacing w:before="23"/>
      </w:pPr>
      <w:r>
        <w:rPr/>
        <w:t>experience and discusses lessons learned. Details</w:t>
      </w:r>
    </w:p>
    <w:p>
      <w:pPr>
        <w:pStyle w:val="ListParagraph"/>
        <w:numPr>
          <w:ilvl w:val="0"/>
          <w:numId w:val="1"/>
        </w:numPr>
        <w:tabs>
          <w:tab w:pos="560" w:val="left" w:leader="none"/>
          <w:tab w:pos="561" w:val="left" w:leader="none"/>
        </w:tabs>
        <w:spacing w:line="240" w:lineRule="auto" w:before="20" w:after="0"/>
        <w:ind w:left="560" w:right="0" w:hanging="361"/>
        <w:jc w:val="left"/>
        <w:rPr>
          <w:rFonts w:ascii="Symbol" w:hAnsi="Symbol"/>
          <w:sz w:val="22"/>
        </w:rPr>
      </w:pPr>
      <w:r>
        <w:rPr>
          <w:sz w:val="22"/>
        </w:rPr>
        <w:t>Climate change scenario, II (end of term paper, details provided in class):</w:t>
      </w:r>
      <w:r>
        <w:rPr>
          <w:spacing w:val="-13"/>
          <w:sz w:val="22"/>
        </w:rPr>
        <w:t> </w:t>
      </w:r>
      <w:r>
        <w:rPr>
          <w:sz w:val="22"/>
        </w:rPr>
        <w:t>42%</w:t>
      </w:r>
    </w:p>
    <w:p>
      <w:pPr>
        <w:pStyle w:val="BodyText"/>
        <w:spacing w:before="5"/>
        <w:ind w:left="0"/>
        <w:rPr>
          <w:sz w:val="21"/>
        </w:rPr>
      </w:pPr>
    </w:p>
    <w:p>
      <w:pPr>
        <w:pStyle w:val="BodyText"/>
        <w:ind w:left="200" w:right="472"/>
      </w:pPr>
      <w:r>
        <w:rPr>
          <w:b/>
        </w:rPr>
        <w:t>Resources and Readings: </w:t>
      </w:r>
      <w:r>
        <w:rPr/>
        <w:t>Required readings will be provided through Avenue to Learn, no textbook is required. Students are encouraged to bookmark the websites listed below.</w:t>
      </w:r>
    </w:p>
    <w:p>
      <w:pPr>
        <w:spacing w:before="1"/>
        <w:ind w:left="200" w:right="0" w:firstLine="0"/>
        <w:jc w:val="left"/>
        <w:rPr>
          <w:i/>
          <w:sz w:val="22"/>
        </w:rPr>
      </w:pPr>
      <w:r>
        <w:rPr>
          <w:i/>
          <w:sz w:val="22"/>
        </w:rPr>
        <w:t>The following resources will be used extensively throughout the course:</w:t>
      </w:r>
    </w:p>
    <w:p>
      <w:pPr>
        <w:pStyle w:val="ListParagraph"/>
        <w:numPr>
          <w:ilvl w:val="1"/>
          <w:numId w:val="1"/>
        </w:numPr>
        <w:tabs>
          <w:tab w:pos="920" w:val="left" w:leader="none"/>
          <w:tab w:pos="921" w:val="left" w:leader="none"/>
        </w:tabs>
        <w:spacing w:line="259" w:lineRule="auto" w:before="0" w:after="0"/>
        <w:ind w:left="920" w:right="264" w:hanging="360"/>
        <w:jc w:val="left"/>
        <w:rPr>
          <w:sz w:val="22"/>
        </w:rPr>
      </w:pPr>
      <w:r>
        <w:rPr>
          <w:sz w:val="22"/>
        </w:rPr>
        <w:t>Riley Dunlap and Robert Brulle (editors). 2015. </w:t>
      </w:r>
      <w:r>
        <w:rPr>
          <w:i/>
          <w:sz w:val="22"/>
        </w:rPr>
        <w:t>Climate Change and Society: Sociological </w:t>
      </w:r>
      <w:r>
        <w:rPr>
          <w:i/>
          <w:sz w:val="22"/>
        </w:rPr>
        <w:t>Perspectives</w:t>
      </w:r>
      <w:r>
        <w:rPr>
          <w:sz w:val="22"/>
        </w:rPr>
        <w:t>. Oxford Scholarship Online.</w:t>
      </w:r>
      <w:r>
        <w:rPr>
          <w:color w:val="0462C1"/>
          <w:sz w:val="22"/>
          <w:u w:val="single" w:color="0462C1"/>
        </w:rPr>
        <w:t> </w:t>
      </w:r>
      <w:r>
        <w:rPr>
          <w:color w:val="0462C1"/>
          <w:spacing w:val="-1"/>
          <w:sz w:val="22"/>
          <w:u w:val="single" w:color="0462C1"/>
        </w:rPr>
        <w:t>https://oxford.universitypressscholarship.com/view/10.1093/acprof:oso/9780199356102.001.0 </w:t>
      </w:r>
      <w:r>
        <w:rPr>
          <w:color w:val="0462C1"/>
          <w:sz w:val="22"/>
          <w:u w:val="single" w:color="0462C1"/>
        </w:rPr>
        <w:t>001/acprof-9780199356102</w:t>
      </w:r>
      <w:r>
        <w:rPr>
          <w:sz w:val="22"/>
        </w:rPr>
        <w:t>. McMaster University Library provides access to this eBook and individual chapters made available through Avenue to</w:t>
      </w:r>
      <w:r>
        <w:rPr>
          <w:spacing w:val="-7"/>
          <w:sz w:val="22"/>
        </w:rPr>
        <w:t> </w:t>
      </w:r>
      <w:r>
        <w:rPr>
          <w:sz w:val="22"/>
        </w:rPr>
        <w:t>Learn.</w:t>
      </w:r>
    </w:p>
    <w:p>
      <w:pPr>
        <w:pStyle w:val="ListParagraph"/>
        <w:numPr>
          <w:ilvl w:val="1"/>
          <w:numId w:val="1"/>
        </w:numPr>
        <w:tabs>
          <w:tab w:pos="920" w:val="left" w:leader="none"/>
          <w:tab w:pos="921" w:val="left" w:leader="none"/>
        </w:tabs>
        <w:spacing w:line="259" w:lineRule="auto" w:before="0" w:after="0"/>
        <w:ind w:left="920" w:right="246" w:hanging="360"/>
        <w:jc w:val="left"/>
        <w:rPr>
          <w:sz w:val="22"/>
        </w:rPr>
      </w:pPr>
      <w:r>
        <w:rPr>
          <w:i/>
          <w:sz w:val="22"/>
        </w:rPr>
        <w:t>The </w:t>
      </w:r>
      <w:r>
        <w:rPr>
          <w:sz w:val="22"/>
        </w:rPr>
        <w:t>Lancet </w:t>
      </w:r>
      <w:r>
        <w:rPr>
          <w:i/>
          <w:sz w:val="22"/>
        </w:rPr>
        <w:t>Countdown on Health and Climate Change:</w:t>
      </w:r>
      <w:r>
        <w:rPr>
          <w:i/>
          <w:color w:val="0462C1"/>
          <w:sz w:val="22"/>
        </w:rPr>
        <w:t> </w:t>
      </w:r>
      <w:hyperlink r:id="rId8">
        <w:r>
          <w:rPr>
            <w:color w:val="0462C1"/>
            <w:sz w:val="22"/>
            <w:u w:val="single" w:color="0462C1"/>
          </w:rPr>
          <w:t>https://www.thelancet.com/countdown-</w:t>
        </w:r>
      </w:hyperlink>
      <w:hyperlink r:id="rId8">
        <w:r>
          <w:rPr>
            <w:color w:val="0462C1"/>
            <w:sz w:val="22"/>
            <w:u w:val="single" w:color="0462C1"/>
          </w:rPr>
          <w:t> health-climate</w:t>
        </w:r>
      </w:hyperlink>
    </w:p>
    <w:p>
      <w:pPr>
        <w:pStyle w:val="ListParagraph"/>
        <w:numPr>
          <w:ilvl w:val="1"/>
          <w:numId w:val="1"/>
        </w:numPr>
        <w:tabs>
          <w:tab w:pos="920" w:val="left" w:leader="none"/>
          <w:tab w:pos="921" w:val="left" w:leader="none"/>
        </w:tabs>
        <w:spacing w:line="256" w:lineRule="auto" w:before="0" w:after="0"/>
        <w:ind w:left="920" w:right="2591" w:hanging="360"/>
        <w:jc w:val="left"/>
        <w:rPr>
          <w:sz w:val="22"/>
        </w:rPr>
      </w:pPr>
      <w:r>
        <w:rPr>
          <w:sz w:val="22"/>
        </w:rPr>
        <w:t>Climate Interactives. 2021. “En-Roads Climate Simulator.”</w:t>
      </w:r>
      <w:r>
        <w:rPr>
          <w:color w:val="0462C1"/>
          <w:sz w:val="22"/>
        </w:rPr>
        <w:t> </w:t>
      </w:r>
      <w:hyperlink r:id="rId9">
        <w:r>
          <w:rPr>
            <w:color w:val="0462C1"/>
            <w:sz w:val="22"/>
            <w:u w:val="single" w:color="0462C1"/>
          </w:rPr>
          <w:t>https://en-</w:t>
        </w:r>
      </w:hyperlink>
      <w:hyperlink r:id="rId9">
        <w:r>
          <w:rPr>
            <w:color w:val="0462C1"/>
            <w:sz w:val="22"/>
            <w:u w:val="single" w:color="0462C1"/>
          </w:rPr>
          <w:t> roads.climateinteractive.org/scenario.html?v=21.12.0</w:t>
        </w:r>
      </w:hyperlink>
      <w:r>
        <w:rPr>
          <w:sz w:val="22"/>
        </w:rPr>
        <w:t>.</w:t>
      </w:r>
    </w:p>
    <w:p>
      <w:pPr>
        <w:spacing w:before="2"/>
        <w:ind w:left="200" w:right="0" w:firstLine="0"/>
        <w:jc w:val="left"/>
        <w:rPr>
          <w:i/>
          <w:sz w:val="22"/>
        </w:rPr>
      </w:pPr>
      <w:r>
        <w:rPr>
          <w:i/>
          <w:sz w:val="22"/>
        </w:rPr>
        <w:t>The following resources provide valuable perspectives and resources:</w:t>
      </w:r>
    </w:p>
    <w:p>
      <w:pPr>
        <w:pStyle w:val="ListParagraph"/>
        <w:numPr>
          <w:ilvl w:val="1"/>
          <w:numId w:val="1"/>
        </w:numPr>
        <w:tabs>
          <w:tab w:pos="920" w:val="left" w:leader="none"/>
          <w:tab w:pos="921" w:val="left" w:leader="none"/>
        </w:tabs>
        <w:spacing w:line="259" w:lineRule="auto" w:before="1" w:after="0"/>
        <w:ind w:left="920" w:right="1623" w:hanging="360"/>
        <w:jc w:val="left"/>
        <w:rPr>
          <w:sz w:val="22"/>
        </w:rPr>
      </w:pPr>
      <w:r>
        <w:rPr>
          <w:sz w:val="22"/>
        </w:rPr>
        <w:t>Canada: Climate Change -</w:t>
      </w:r>
      <w:hyperlink r:id="rId10">
        <w:r>
          <w:rPr>
            <w:color w:val="0462C1"/>
            <w:sz w:val="22"/>
            <w:u w:val="single" w:color="0462C1"/>
          </w:rPr>
          <w:t> </w:t>
        </w:r>
        <w:r>
          <w:rPr>
            <w:color w:val="0462C1"/>
            <w:spacing w:val="-1"/>
            <w:sz w:val="22"/>
            <w:u w:val="single" w:color="0462C1"/>
          </w:rPr>
          <w:t>https://www.canada.ca/en/services/environment/weather/climatechange.html</w:t>
        </w:r>
      </w:hyperlink>
      <w:r>
        <w:rPr>
          <w:spacing w:val="-1"/>
          <w:sz w:val="22"/>
        </w:rPr>
        <w:t>.</w:t>
      </w:r>
    </w:p>
    <w:p>
      <w:pPr>
        <w:pStyle w:val="ListParagraph"/>
        <w:numPr>
          <w:ilvl w:val="1"/>
          <w:numId w:val="1"/>
        </w:numPr>
        <w:tabs>
          <w:tab w:pos="920" w:val="left" w:leader="none"/>
          <w:tab w:pos="921" w:val="left" w:leader="none"/>
        </w:tabs>
        <w:spacing w:line="240" w:lineRule="auto" w:before="1" w:after="0"/>
        <w:ind w:left="920" w:right="0" w:hanging="361"/>
        <w:jc w:val="left"/>
        <w:rPr>
          <w:sz w:val="22"/>
        </w:rPr>
      </w:pPr>
      <w:r>
        <w:rPr>
          <w:sz w:val="22"/>
        </w:rPr>
        <w:t>The Intergovernmental Panel on Climate Change -</w:t>
      </w:r>
      <w:r>
        <w:rPr>
          <w:color w:val="0462C1"/>
          <w:spacing w:val="-8"/>
          <w:sz w:val="22"/>
        </w:rPr>
        <w:t> </w:t>
      </w:r>
      <w:hyperlink r:id="rId11">
        <w:r>
          <w:rPr>
            <w:color w:val="0462C1"/>
            <w:sz w:val="22"/>
            <w:u w:val="single" w:color="0462C1"/>
          </w:rPr>
          <w:t>https://www.ipcc.ch/</w:t>
        </w:r>
      </w:hyperlink>
      <w:r>
        <w:rPr>
          <w:sz w:val="22"/>
        </w:rPr>
        <w:t>.</w:t>
      </w:r>
    </w:p>
    <w:p>
      <w:pPr>
        <w:pStyle w:val="ListParagraph"/>
        <w:numPr>
          <w:ilvl w:val="1"/>
          <w:numId w:val="1"/>
        </w:numPr>
        <w:tabs>
          <w:tab w:pos="920" w:val="left" w:leader="none"/>
          <w:tab w:pos="921" w:val="left" w:leader="none"/>
        </w:tabs>
        <w:spacing w:line="240" w:lineRule="auto" w:before="20" w:after="0"/>
        <w:ind w:left="920" w:right="0" w:hanging="361"/>
        <w:jc w:val="left"/>
        <w:rPr>
          <w:sz w:val="22"/>
        </w:rPr>
      </w:pPr>
      <w:r>
        <w:rPr>
          <w:sz w:val="22"/>
        </w:rPr>
        <w:t>Climate Interactive -</w:t>
      </w:r>
      <w:r>
        <w:rPr>
          <w:color w:val="0462C1"/>
          <w:spacing w:val="2"/>
          <w:sz w:val="22"/>
        </w:rPr>
        <w:t> </w:t>
      </w:r>
      <w:hyperlink r:id="rId12">
        <w:r>
          <w:rPr>
            <w:color w:val="0462C1"/>
            <w:sz w:val="22"/>
            <w:u w:val="single" w:color="0462C1"/>
          </w:rPr>
          <w:t>https://www.climateinteractive.org/</w:t>
        </w:r>
      </w:hyperlink>
      <w:r>
        <w:rPr>
          <w:sz w:val="22"/>
        </w:rPr>
        <w:t>.</w:t>
      </w:r>
    </w:p>
    <w:p>
      <w:pPr>
        <w:pStyle w:val="ListParagraph"/>
        <w:numPr>
          <w:ilvl w:val="1"/>
          <w:numId w:val="1"/>
        </w:numPr>
        <w:tabs>
          <w:tab w:pos="920" w:val="left" w:leader="none"/>
          <w:tab w:pos="921" w:val="left" w:leader="none"/>
        </w:tabs>
        <w:spacing w:line="256" w:lineRule="auto" w:before="22" w:after="0"/>
        <w:ind w:left="920" w:right="241" w:hanging="360"/>
        <w:jc w:val="left"/>
        <w:rPr>
          <w:sz w:val="22"/>
        </w:rPr>
      </w:pPr>
      <w:r>
        <w:rPr>
          <w:sz w:val="22"/>
        </w:rPr>
        <w:t>Andrew Szasz and Jeffrey Kiehl: A Climate Change Module for Introduction to Sociology Classes -</w:t>
      </w:r>
      <w:hyperlink r:id="rId13">
        <w:r>
          <w:rPr>
            <w:color w:val="0462C1"/>
            <w:sz w:val="22"/>
            <w:u w:val="single" w:color="0462C1"/>
          </w:rPr>
          <w:t> https://teachingclimate-2021.sites.ucsc.edu/</w:t>
        </w:r>
      </w:hyperlink>
      <w:r>
        <w:rPr>
          <w:sz w:val="22"/>
        </w:rPr>
        <w:t>.</w:t>
      </w:r>
    </w:p>
    <w:p>
      <w:pPr>
        <w:pStyle w:val="ListParagraph"/>
        <w:numPr>
          <w:ilvl w:val="1"/>
          <w:numId w:val="1"/>
        </w:numPr>
        <w:tabs>
          <w:tab w:pos="920" w:val="left" w:leader="none"/>
          <w:tab w:pos="921" w:val="left" w:leader="none"/>
        </w:tabs>
        <w:spacing w:line="240" w:lineRule="auto" w:before="4" w:after="0"/>
        <w:ind w:left="920" w:right="0" w:hanging="361"/>
        <w:jc w:val="left"/>
        <w:rPr>
          <w:sz w:val="22"/>
        </w:rPr>
      </w:pPr>
      <w:r>
        <w:rPr>
          <w:sz w:val="22"/>
        </w:rPr>
        <w:t>Climate Atlas of Canada -</w:t>
      </w:r>
      <w:r>
        <w:rPr>
          <w:color w:val="0462C1"/>
          <w:spacing w:val="-4"/>
          <w:sz w:val="22"/>
        </w:rPr>
        <w:t> </w:t>
      </w:r>
      <w:hyperlink r:id="rId14">
        <w:r>
          <w:rPr>
            <w:color w:val="0462C1"/>
            <w:sz w:val="22"/>
            <w:u w:val="single" w:color="0462C1"/>
          </w:rPr>
          <w:t>https://climateatlas.ca/</w:t>
        </w:r>
      </w:hyperlink>
      <w:r>
        <w:rPr>
          <w:sz w:val="22"/>
        </w:rPr>
        <w:t>.</w:t>
      </w:r>
    </w:p>
    <w:p>
      <w:pPr>
        <w:pStyle w:val="ListParagraph"/>
        <w:numPr>
          <w:ilvl w:val="1"/>
          <w:numId w:val="1"/>
        </w:numPr>
        <w:tabs>
          <w:tab w:pos="920" w:val="left" w:leader="none"/>
          <w:tab w:pos="921" w:val="left" w:leader="none"/>
        </w:tabs>
        <w:spacing w:line="259" w:lineRule="auto" w:before="22" w:after="0"/>
        <w:ind w:left="920" w:right="471" w:hanging="360"/>
        <w:jc w:val="left"/>
        <w:rPr>
          <w:sz w:val="22"/>
        </w:rPr>
      </w:pPr>
      <w:r>
        <w:rPr>
          <w:sz w:val="22"/>
        </w:rPr>
        <w:t>New York Times. 2021. “Cities Blanketed in Dust. Graveyards Swallowed by the Sea. It’s Here Now.” December 31, 2021.</w:t>
      </w:r>
      <w:hyperlink r:id="rId15">
        <w:r>
          <w:rPr>
            <w:color w:val="0462C1"/>
            <w:sz w:val="22"/>
            <w:u w:val="single" w:color="0462C1"/>
          </w:rPr>
          <w:t> https://www.nytimes.com/interactive/2021/12/13/opinion/climate-change-effects-</w:t>
        </w:r>
      </w:hyperlink>
      <w:hyperlink r:id="rId15">
        <w:r>
          <w:rPr>
            <w:color w:val="0462C1"/>
            <w:sz w:val="22"/>
            <w:u w:val="single" w:color="0462C1"/>
          </w:rPr>
          <w:t> countries.html</w:t>
        </w:r>
      </w:hyperlink>
      <w:r>
        <w:rPr>
          <w:sz w:val="22"/>
        </w:rPr>
        <w:t>.</w:t>
      </w:r>
    </w:p>
    <w:p>
      <w:pPr>
        <w:pStyle w:val="ListParagraph"/>
        <w:numPr>
          <w:ilvl w:val="1"/>
          <w:numId w:val="1"/>
        </w:numPr>
        <w:tabs>
          <w:tab w:pos="920" w:val="left" w:leader="none"/>
          <w:tab w:pos="921" w:val="left" w:leader="none"/>
        </w:tabs>
        <w:spacing w:line="256" w:lineRule="auto" w:before="0" w:after="0"/>
        <w:ind w:left="920" w:right="2128" w:hanging="360"/>
        <w:jc w:val="left"/>
        <w:rPr>
          <w:sz w:val="22"/>
        </w:rPr>
      </w:pPr>
      <w:r>
        <w:rPr>
          <w:sz w:val="22"/>
        </w:rPr>
        <w:t>Indigenous Perspectives: Sharing Indigenous Responses to Climate Change:</w:t>
      </w:r>
      <w:hyperlink r:id="rId16">
        <w:r>
          <w:rPr>
            <w:color w:val="0462C1"/>
            <w:sz w:val="22"/>
            <w:u w:val="single" w:color="0462C1"/>
          </w:rPr>
          <w:t> https://climateinstitute.ca/reports/indigenous-perspectives/</w:t>
        </w:r>
      </w:hyperlink>
    </w:p>
    <w:p>
      <w:pPr>
        <w:pStyle w:val="BodyText"/>
        <w:spacing w:before="4"/>
        <w:ind w:left="0"/>
        <w:rPr>
          <w:sz w:val="15"/>
        </w:rPr>
      </w:pPr>
    </w:p>
    <w:p>
      <w:pPr>
        <w:spacing w:before="56"/>
        <w:ind w:left="200" w:right="308" w:firstLine="0"/>
        <w:jc w:val="left"/>
        <w:rPr>
          <w:b/>
          <w:i/>
          <w:sz w:val="22"/>
        </w:rPr>
      </w:pPr>
      <w:r>
        <w:rPr>
          <w:b/>
          <w:i/>
          <w:sz w:val="22"/>
        </w:rPr>
        <w:t>Please note: Climate change – its impacts and responses to it – are in flux. For this reason, this course </w:t>
      </w:r>
      <w:r>
        <w:rPr>
          <w:b/>
          <w:i/>
          <w:sz w:val="22"/>
        </w:rPr>
        <w:t>outline and course activities and readings may be updated over the course of the semester. All changes will be discussed – in advance – in class and on Avenue to Learn.</w:t>
      </w:r>
    </w:p>
    <w:p>
      <w:pPr>
        <w:spacing w:after="0"/>
        <w:jc w:val="left"/>
        <w:rPr>
          <w:sz w:val="22"/>
        </w:rPr>
        <w:sectPr>
          <w:pgSz w:w="12240" w:h="15840"/>
          <w:pgMar w:header="0" w:footer="1044" w:top="1400" w:bottom="1240" w:left="1240" w:right="1240"/>
        </w:sectPr>
      </w:pPr>
    </w:p>
    <w:p>
      <w:pPr>
        <w:spacing w:before="39"/>
        <w:ind w:left="200" w:right="0" w:firstLine="0"/>
        <w:jc w:val="left"/>
        <w:rPr>
          <w:sz w:val="22"/>
        </w:rPr>
      </w:pPr>
      <w:r>
        <w:rPr>
          <w:b/>
          <w:sz w:val="22"/>
        </w:rPr>
        <w:t>Learning Objectives. </w:t>
      </w:r>
      <w:r>
        <w:rPr>
          <w:sz w:val="22"/>
        </w:rPr>
        <w:t>By the end of Sociology 4NN3, students should be able to:</w:t>
      </w:r>
    </w:p>
    <w:p>
      <w:pPr>
        <w:pStyle w:val="ListParagraph"/>
        <w:numPr>
          <w:ilvl w:val="0"/>
          <w:numId w:val="1"/>
        </w:numPr>
        <w:tabs>
          <w:tab w:pos="560" w:val="left" w:leader="none"/>
          <w:tab w:pos="561" w:val="left" w:leader="none"/>
        </w:tabs>
        <w:spacing w:line="240" w:lineRule="auto" w:before="1" w:after="0"/>
        <w:ind w:left="560" w:right="0" w:hanging="361"/>
        <w:jc w:val="left"/>
        <w:rPr>
          <w:rFonts w:ascii="Symbol" w:hAnsi="Symbol"/>
          <w:i/>
          <w:sz w:val="22"/>
        </w:rPr>
      </w:pPr>
      <w:r>
        <w:rPr>
          <w:i/>
          <w:sz w:val="22"/>
        </w:rPr>
        <w:t>Depth and Breadth of</w:t>
      </w:r>
      <w:r>
        <w:rPr>
          <w:i/>
          <w:spacing w:val="-6"/>
          <w:sz w:val="22"/>
        </w:rPr>
        <w:t> </w:t>
      </w:r>
      <w:r>
        <w:rPr>
          <w:i/>
          <w:sz w:val="22"/>
        </w:rPr>
        <w:t>Knowledge:</w:t>
      </w:r>
    </w:p>
    <w:p>
      <w:pPr>
        <w:pStyle w:val="ListParagraph"/>
        <w:numPr>
          <w:ilvl w:val="0"/>
          <w:numId w:val="2"/>
        </w:numPr>
        <w:tabs>
          <w:tab w:pos="920" w:val="left" w:leader="none"/>
          <w:tab w:pos="921" w:val="left" w:leader="none"/>
        </w:tabs>
        <w:spacing w:line="240" w:lineRule="auto" w:before="22" w:after="0"/>
        <w:ind w:left="920" w:right="0" w:hanging="361"/>
        <w:jc w:val="left"/>
        <w:rPr>
          <w:sz w:val="22"/>
        </w:rPr>
      </w:pPr>
      <w:r>
        <w:rPr>
          <w:sz w:val="22"/>
        </w:rPr>
        <w:t>Identify sources of information about climate change in Canada and around the</w:t>
      </w:r>
      <w:r>
        <w:rPr>
          <w:spacing w:val="-12"/>
          <w:sz w:val="22"/>
        </w:rPr>
        <w:t> </w:t>
      </w:r>
      <w:r>
        <w:rPr>
          <w:sz w:val="22"/>
        </w:rPr>
        <w:t>world</w:t>
      </w:r>
    </w:p>
    <w:p>
      <w:pPr>
        <w:pStyle w:val="ListParagraph"/>
        <w:numPr>
          <w:ilvl w:val="0"/>
          <w:numId w:val="2"/>
        </w:numPr>
        <w:tabs>
          <w:tab w:pos="920" w:val="left" w:leader="none"/>
          <w:tab w:pos="921" w:val="left" w:leader="none"/>
        </w:tabs>
        <w:spacing w:line="252" w:lineRule="auto" w:before="12" w:after="0"/>
        <w:ind w:left="920" w:right="874" w:hanging="360"/>
        <w:jc w:val="left"/>
        <w:rPr>
          <w:sz w:val="22"/>
        </w:rPr>
      </w:pPr>
      <w:r>
        <w:rPr>
          <w:sz w:val="22"/>
        </w:rPr>
        <w:t>Evaluate and investigate the controversies that exist about climate change in Canada and around the</w:t>
      </w:r>
      <w:r>
        <w:rPr>
          <w:spacing w:val="-3"/>
          <w:sz w:val="22"/>
        </w:rPr>
        <w:t> </w:t>
      </w:r>
      <w:r>
        <w:rPr>
          <w:sz w:val="22"/>
        </w:rPr>
        <w:t>world.</w:t>
      </w:r>
    </w:p>
    <w:p>
      <w:pPr>
        <w:pStyle w:val="ListParagraph"/>
        <w:numPr>
          <w:ilvl w:val="0"/>
          <w:numId w:val="2"/>
        </w:numPr>
        <w:tabs>
          <w:tab w:pos="920" w:val="left" w:leader="none"/>
          <w:tab w:pos="921" w:val="left" w:leader="none"/>
        </w:tabs>
        <w:spacing w:line="252" w:lineRule="auto" w:before="10" w:after="0"/>
        <w:ind w:left="920" w:right="567" w:hanging="360"/>
        <w:jc w:val="left"/>
        <w:rPr>
          <w:sz w:val="22"/>
        </w:rPr>
      </w:pPr>
      <w:r>
        <w:rPr>
          <w:sz w:val="22"/>
        </w:rPr>
        <w:t>Gain awareness of the past and ongoing climactic transformation experienced by Indigenous peoples of Canada and in countries around the</w:t>
      </w:r>
      <w:r>
        <w:rPr>
          <w:spacing w:val="-9"/>
          <w:sz w:val="22"/>
        </w:rPr>
        <w:t> </w:t>
      </w:r>
      <w:r>
        <w:rPr>
          <w:sz w:val="22"/>
        </w:rPr>
        <w:t>world.</w:t>
      </w:r>
    </w:p>
    <w:p>
      <w:pPr>
        <w:pStyle w:val="ListParagraph"/>
        <w:numPr>
          <w:ilvl w:val="0"/>
          <w:numId w:val="2"/>
        </w:numPr>
        <w:tabs>
          <w:tab w:pos="920" w:val="left" w:leader="none"/>
          <w:tab w:pos="921" w:val="left" w:leader="none"/>
        </w:tabs>
        <w:spacing w:line="252" w:lineRule="auto" w:before="8" w:after="0"/>
        <w:ind w:left="920" w:right="553" w:hanging="360"/>
        <w:jc w:val="left"/>
        <w:rPr>
          <w:sz w:val="22"/>
        </w:rPr>
      </w:pPr>
      <w:r>
        <w:rPr>
          <w:sz w:val="22"/>
        </w:rPr>
        <w:t>Understand the unequal impact of current and anticipated climate change – by gender, race, nation, and</w:t>
      </w:r>
      <w:r>
        <w:rPr>
          <w:spacing w:val="-2"/>
          <w:sz w:val="22"/>
        </w:rPr>
        <w:t> </w:t>
      </w:r>
      <w:r>
        <w:rPr>
          <w:sz w:val="22"/>
        </w:rPr>
        <w:t>class.</w:t>
      </w:r>
    </w:p>
    <w:p>
      <w:pPr>
        <w:pStyle w:val="ListParagraph"/>
        <w:numPr>
          <w:ilvl w:val="0"/>
          <w:numId w:val="1"/>
        </w:numPr>
        <w:tabs>
          <w:tab w:pos="560" w:val="left" w:leader="none"/>
          <w:tab w:pos="561" w:val="left" w:leader="none"/>
        </w:tabs>
        <w:spacing w:line="240" w:lineRule="auto" w:before="10" w:after="0"/>
        <w:ind w:left="560" w:right="0" w:hanging="361"/>
        <w:jc w:val="left"/>
        <w:rPr>
          <w:rFonts w:ascii="Symbol" w:hAnsi="Symbol"/>
          <w:i/>
          <w:sz w:val="22"/>
        </w:rPr>
      </w:pPr>
      <w:r>
        <w:rPr>
          <w:i/>
          <w:sz w:val="22"/>
        </w:rPr>
        <w:t>Communication</w:t>
      </w:r>
      <w:r>
        <w:rPr>
          <w:i/>
          <w:spacing w:val="-1"/>
          <w:sz w:val="22"/>
        </w:rPr>
        <w:t> </w:t>
      </w:r>
      <w:r>
        <w:rPr>
          <w:i/>
          <w:sz w:val="22"/>
        </w:rPr>
        <w:t>Skills</w:t>
      </w:r>
    </w:p>
    <w:p>
      <w:pPr>
        <w:pStyle w:val="ListParagraph"/>
        <w:numPr>
          <w:ilvl w:val="0"/>
          <w:numId w:val="3"/>
        </w:numPr>
        <w:tabs>
          <w:tab w:pos="920" w:val="left" w:leader="none"/>
          <w:tab w:pos="921" w:val="left" w:leader="none"/>
        </w:tabs>
        <w:spacing w:line="240" w:lineRule="auto" w:before="19" w:after="0"/>
        <w:ind w:left="920" w:right="0" w:hanging="361"/>
        <w:jc w:val="left"/>
        <w:rPr>
          <w:sz w:val="22"/>
        </w:rPr>
      </w:pPr>
      <w:r>
        <w:rPr>
          <w:sz w:val="22"/>
        </w:rPr>
        <w:t>Facilitate discussion of climate change</w:t>
      </w:r>
      <w:r>
        <w:rPr>
          <w:spacing w:val="-6"/>
          <w:sz w:val="22"/>
        </w:rPr>
        <w:t> </w:t>
      </w:r>
      <w:r>
        <w:rPr>
          <w:sz w:val="22"/>
        </w:rPr>
        <w:t>issues.</w:t>
      </w:r>
    </w:p>
    <w:p>
      <w:pPr>
        <w:pStyle w:val="ListParagraph"/>
        <w:numPr>
          <w:ilvl w:val="0"/>
          <w:numId w:val="3"/>
        </w:numPr>
        <w:tabs>
          <w:tab w:pos="920" w:val="left" w:leader="none"/>
          <w:tab w:pos="921" w:val="left" w:leader="none"/>
        </w:tabs>
        <w:spacing w:line="240" w:lineRule="auto" w:before="15" w:after="0"/>
        <w:ind w:left="920" w:right="0" w:hanging="361"/>
        <w:jc w:val="left"/>
        <w:rPr>
          <w:sz w:val="22"/>
        </w:rPr>
      </w:pPr>
      <w:r>
        <w:rPr>
          <w:sz w:val="22"/>
        </w:rPr>
        <w:t>Present a brief climate change</w:t>
      </w:r>
      <w:r>
        <w:rPr>
          <w:spacing w:val="2"/>
          <w:sz w:val="22"/>
        </w:rPr>
        <w:t> </w:t>
      </w:r>
      <w:r>
        <w:rPr>
          <w:sz w:val="22"/>
        </w:rPr>
        <w:t>lesson.</w:t>
      </w:r>
    </w:p>
    <w:p>
      <w:pPr>
        <w:pStyle w:val="ListParagraph"/>
        <w:numPr>
          <w:ilvl w:val="0"/>
          <w:numId w:val="1"/>
        </w:numPr>
        <w:tabs>
          <w:tab w:pos="560" w:val="left" w:leader="none"/>
          <w:tab w:pos="561" w:val="left" w:leader="none"/>
        </w:tabs>
        <w:spacing w:line="240" w:lineRule="auto" w:before="16" w:after="0"/>
        <w:ind w:left="560" w:right="0" w:hanging="361"/>
        <w:jc w:val="left"/>
        <w:rPr>
          <w:rFonts w:ascii="Symbol" w:hAnsi="Symbol"/>
          <w:i/>
          <w:sz w:val="22"/>
        </w:rPr>
      </w:pPr>
      <w:r>
        <w:rPr>
          <w:i/>
          <w:sz w:val="22"/>
        </w:rPr>
        <w:t>Awareness of Limits of</w:t>
      </w:r>
      <w:r>
        <w:rPr>
          <w:i/>
          <w:spacing w:val="-6"/>
          <w:sz w:val="22"/>
        </w:rPr>
        <w:t> </w:t>
      </w:r>
      <w:r>
        <w:rPr>
          <w:i/>
          <w:sz w:val="22"/>
        </w:rPr>
        <w:t>Knowledge:</w:t>
      </w:r>
    </w:p>
    <w:p>
      <w:pPr>
        <w:pStyle w:val="ListParagraph"/>
        <w:numPr>
          <w:ilvl w:val="0"/>
          <w:numId w:val="4"/>
        </w:numPr>
        <w:tabs>
          <w:tab w:pos="920" w:val="left" w:leader="none"/>
          <w:tab w:pos="921" w:val="left" w:leader="none"/>
        </w:tabs>
        <w:spacing w:line="252" w:lineRule="auto" w:before="22" w:after="0"/>
        <w:ind w:left="920" w:right="626" w:hanging="360"/>
        <w:jc w:val="left"/>
        <w:rPr>
          <w:sz w:val="22"/>
        </w:rPr>
      </w:pPr>
      <w:r>
        <w:rPr>
          <w:sz w:val="22"/>
        </w:rPr>
        <w:t>Appreciate the uncertainty, ambiguity and limits to knowledge about climate change and its impacts on</w:t>
      </w:r>
      <w:r>
        <w:rPr>
          <w:spacing w:val="-5"/>
          <w:sz w:val="22"/>
        </w:rPr>
        <w:t> </w:t>
      </w:r>
      <w:r>
        <w:rPr>
          <w:sz w:val="22"/>
        </w:rPr>
        <w:t>society.</w:t>
      </w:r>
    </w:p>
    <w:p>
      <w:pPr>
        <w:pStyle w:val="ListParagraph"/>
        <w:numPr>
          <w:ilvl w:val="0"/>
          <w:numId w:val="4"/>
        </w:numPr>
        <w:tabs>
          <w:tab w:pos="920" w:val="left" w:leader="none"/>
          <w:tab w:pos="921" w:val="left" w:leader="none"/>
        </w:tabs>
        <w:spacing w:line="247" w:lineRule="auto" w:before="7" w:after="0"/>
        <w:ind w:left="200" w:right="328" w:firstLine="360"/>
        <w:jc w:val="left"/>
        <w:rPr>
          <w:sz w:val="22"/>
        </w:rPr>
      </w:pPr>
      <w:r>
        <w:rPr>
          <w:sz w:val="22"/>
        </w:rPr>
        <w:t>Understand how this uncertainty influences analyses and interpretations of climate change. See</w:t>
      </w:r>
      <w:r>
        <w:rPr>
          <w:color w:val="0462C1"/>
          <w:sz w:val="22"/>
        </w:rPr>
        <w:t> </w:t>
      </w:r>
      <w:hyperlink r:id="rId17">
        <w:r>
          <w:rPr>
            <w:color w:val="0462C1"/>
            <w:sz w:val="22"/>
            <w:u w:val="single" w:color="0462C1"/>
          </w:rPr>
          <w:t>http://cll.mcmaster.ca/COU/degree/undergraduate.html</w:t>
        </w:r>
        <w:r>
          <w:rPr>
            <w:color w:val="0462C1"/>
            <w:sz w:val="22"/>
          </w:rPr>
          <w:t> </w:t>
        </w:r>
      </w:hyperlink>
      <w:r>
        <w:rPr>
          <w:sz w:val="22"/>
        </w:rPr>
        <w:t>for details on McMaster’s Undergraduate Degree Level Expectations).</w:t>
      </w:r>
    </w:p>
    <w:p>
      <w:pPr>
        <w:pStyle w:val="BodyText"/>
        <w:spacing w:before="4"/>
        <w:ind w:left="0"/>
        <w:rPr>
          <w:sz w:val="21"/>
        </w:rPr>
      </w:pPr>
    </w:p>
    <w:p>
      <w:pPr>
        <w:pStyle w:val="Heading1"/>
        <w:ind w:left="1337" w:right="1335"/>
        <w:jc w:val="center"/>
      </w:pPr>
      <w:r>
        <w:rPr/>
        <w:t>Course Schedule</w:t>
      </w:r>
    </w:p>
    <w:p>
      <w:pPr>
        <w:pStyle w:val="BodyText"/>
        <w:spacing w:before="11"/>
        <w:ind w:left="0"/>
        <w:rPr>
          <w:b/>
          <w:sz w:val="21"/>
        </w:rPr>
      </w:pPr>
    </w:p>
    <w:p>
      <w:pPr>
        <w:pStyle w:val="Heading3"/>
        <w:spacing w:before="0"/>
      </w:pPr>
      <w:r>
        <w:rPr/>
        <w:t>January 10: Introduction</w:t>
      </w:r>
    </w:p>
    <w:p>
      <w:pPr>
        <w:pStyle w:val="BodyText"/>
        <w:ind w:left="200"/>
      </w:pPr>
      <w:r>
        <w:rPr/>
        <w:t>To be reviewed in class:</w:t>
      </w:r>
    </w:p>
    <w:p>
      <w:pPr>
        <w:pStyle w:val="ListParagraph"/>
        <w:numPr>
          <w:ilvl w:val="0"/>
          <w:numId w:val="1"/>
        </w:numPr>
        <w:tabs>
          <w:tab w:pos="560" w:val="left" w:leader="none"/>
          <w:tab w:pos="561" w:val="left" w:leader="none"/>
        </w:tabs>
        <w:spacing w:line="259" w:lineRule="auto" w:before="1" w:after="0"/>
        <w:ind w:left="560" w:right="217" w:hanging="360"/>
        <w:jc w:val="left"/>
        <w:rPr>
          <w:rFonts w:ascii="Symbol" w:hAnsi="Symbol"/>
          <w:sz w:val="22"/>
        </w:rPr>
      </w:pPr>
      <w:r>
        <w:rPr>
          <w:sz w:val="22"/>
        </w:rPr>
        <w:t>Quirks and Quarks (CBC): Shankar Vendantam -- “Why 'Useful Delusions' can sometimes make us vulnerable to misinformation.”</w:t>
      </w:r>
      <w:r>
        <w:rPr>
          <w:color w:val="0462C1"/>
          <w:sz w:val="22"/>
        </w:rPr>
        <w:t> </w:t>
      </w:r>
      <w:hyperlink r:id="rId18">
        <w:r>
          <w:rPr>
            <w:color w:val="0462C1"/>
            <w:sz w:val="22"/>
            <w:u w:val="single" w:color="0462C1"/>
          </w:rPr>
          <w:t>https://www.cbc.ca/radio/quirks/nov-20-finding-the-covid-</w:t>
        </w:r>
      </w:hyperlink>
      <w:hyperlink r:id="rId18">
        <w:r>
          <w:rPr>
            <w:color w:val="0462C1"/>
            <w:sz w:val="22"/>
            <w:u w:val="single" w:color="0462C1"/>
          </w:rPr>
          <w:t> </w:t>
        </w:r>
        <w:r>
          <w:rPr>
            <w:color w:val="0462C1"/>
            <w:spacing w:val="-1"/>
            <w:sz w:val="22"/>
            <w:u w:val="single" w:color="0462C1"/>
          </w:rPr>
          <w:t>resistors-herzberg-gold-medal-winner-green-glitter-and-more-1.6254083/why-useful-delusions-can-</w:t>
        </w:r>
      </w:hyperlink>
      <w:hyperlink r:id="rId18">
        <w:r>
          <w:rPr>
            <w:color w:val="0462C1"/>
            <w:spacing w:val="-1"/>
            <w:sz w:val="22"/>
            <w:u w:val="single" w:color="0462C1"/>
          </w:rPr>
          <w:t> </w:t>
        </w:r>
        <w:r>
          <w:rPr>
            <w:color w:val="0462C1"/>
            <w:sz w:val="22"/>
            <w:u w:val="single" w:color="0462C1"/>
          </w:rPr>
          <w:t>sometimes-make-us-vulnerable-to-misinformation-1.6254085</w:t>
        </w:r>
      </w:hyperlink>
      <w:r>
        <w:rPr>
          <w:color w:val="0462C1"/>
          <w:sz w:val="22"/>
          <w:u w:val="single" w:color="0462C1"/>
        </w:rPr>
        <w:t>.</w:t>
      </w:r>
    </w:p>
    <w:p>
      <w:pPr>
        <w:pStyle w:val="ListParagraph"/>
        <w:numPr>
          <w:ilvl w:val="0"/>
          <w:numId w:val="1"/>
        </w:numPr>
        <w:tabs>
          <w:tab w:pos="560" w:val="left" w:leader="none"/>
          <w:tab w:pos="561" w:val="left" w:leader="none"/>
        </w:tabs>
        <w:spacing w:line="259" w:lineRule="auto" w:before="0" w:after="0"/>
        <w:ind w:left="560" w:right="298" w:hanging="360"/>
        <w:jc w:val="left"/>
        <w:rPr>
          <w:rFonts w:ascii="Symbol" w:hAnsi="Symbol"/>
          <w:sz w:val="22"/>
        </w:rPr>
      </w:pPr>
      <w:r>
        <w:rPr>
          <w:sz w:val="22"/>
        </w:rPr>
        <w:t>Dominique Browning, “When Grownups Bully Climate Scientists: Bullying is thuggish no matter who is doing it. So why are grown adults engaging in it?” </w:t>
      </w:r>
      <w:r>
        <w:rPr>
          <w:i/>
          <w:sz w:val="22"/>
        </w:rPr>
        <w:t>Time.com</w:t>
      </w:r>
      <w:r>
        <w:rPr>
          <w:sz w:val="22"/>
        </w:rPr>
        <w:t>:</w:t>
      </w:r>
      <w:hyperlink r:id="rId19">
        <w:r>
          <w:rPr>
            <w:color w:val="0462C1"/>
            <w:sz w:val="22"/>
            <w:u w:val="single" w:color="0462C1"/>
          </w:rPr>
          <w:t> https://ideas.time.com/2012/04/10/when-grownups-bully-climate-scientists/</w:t>
        </w:r>
      </w:hyperlink>
      <w:r>
        <w:rPr>
          <w:sz w:val="22"/>
        </w:rPr>
        <w:t>.</w:t>
      </w:r>
    </w:p>
    <w:p>
      <w:pPr>
        <w:pStyle w:val="ListParagraph"/>
        <w:numPr>
          <w:ilvl w:val="0"/>
          <w:numId w:val="1"/>
        </w:numPr>
        <w:tabs>
          <w:tab w:pos="560" w:val="left" w:leader="none"/>
          <w:tab w:pos="561" w:val="left" w:leader="none"/>
        </w:tabs>
        <w:spacing w:line="256" w:lineRule="auto" w:before="0" w:after="0"/>
        <w:ind w:left="560" w:right="531" w:hanging="360"/>
        <w:jc w:val="left"/>
        <w:rPr>
          <w:rFonts w:ascii="Symbol" w:hAnsi="Symbol"/>
          <w:sz w:val="22"/>
        </w:rPr>
      </w:pPr>
      <w:r>
        <w:rPr>
          <w:sz w:val="22"/>
        </w:rPr>
        <w:t>David Suzuki Foundation: “How and why to have climate change conversations” --</w:t>
      </w:r>
      <w:hyperlink r:id="rId20">
        <w:r>
          <w:rPr>
            <w:color w:val="0462C1"/>
            <w:sz w:val="22"/>
            <w:u w:val="single" w:color="0462C1"/>
          </w:rPr>
          <w:t> </w:t>
        </w:r>
        <w:r>
          <w:rPr>
            <w:color w:val="0462C1"/>
            <w:spacing w:val="-1"/>
            <w:sz w:val="22"/>
            <w:u w:val="single" w:color="0462C1"/>
          </w:rPr>
          <w:t>https://davidsuzuki.org/what-you-can-do/how-and-why-to-have-climate-change-conversations/</w:t>
        </w:r>
      </w:hyperlink>
      <w:r>
        <w:rPr>
          <w:spacing w:val="-1"/>
          <w:sz w:val="22"/>
        </w:rPr>
        <w:t>.</w:t>
      </w:r>
    </w:p>
    <w:p>
      <w:pPr>
        <w:pStyle w:val="ListParagraph"/>
        <w:numPr>
          <w:ilvl w:val="0"/>
          <w:numId w:val="1"/>
        </w:numPr>
        <w:tabs>
          <w:tab w:pos="561" w:val="left" w:leader="none"/>
        </w:tabs>
        <w:spacing w:line="259" w:lineRule="auto" w:before="2" w:after="0"/>
        <w:ind w:left="560" w:right="484" w:hanging="360"/>
        <w:jc w:val="both"/>
        <w:rPr>
          <w:rFonts w:ascii="Symbol" w:hAnsi="Symbol"/>
          <w:sz w:val="22"/>
        </w:rPr>
      </w:pPr>
      <w:r>
        <w:rPr>
          <w:sz w:val="22"/>
        </w:rPr>
        <w:t>Max Boykoff. 2019. “How to Talk Effectively about Climate Change.” </w:t>
      </w:r>
      <w:r>
        <w:rPr>
          <w:i/>
          <w:sz w:val="22"/>
        </w:rPr>
        <w:t>Scientific American </w:t>
      </w:r>
      <w:r>
        <w:rPr>
          <w:sz w:val="22"/>
        </w:rPr>
        <w:t>(July 22, 2019).</w:t>
      </w:r>
      <w:r>
        <w:rPr>
          <w:color w:val="0462C1"/>
          <w:sz w:val="22"/>
        </w:rPr>
        <w:t> </w:t>
      </w:r>
      <w:hyperlink r:id="rId21">
        <w:r>
          <w:rPr>
            <w:color w:val="0462C1"/>
            <w:sz w:val="22"/>
            <w:u w:val="single" w:color="0462C1"/>
          </w:rPr>
          <w:t>https://blogs.scientificamerican.com/observations/how-to-talk-effectively-about-climate-</w:t>
        </w:r>
      </w:hyperlink>
      <w:hyperlink r:id="rId21">
        <w:r>
          <w:rPr>
            <w:color w:val="0462C1"/>
            <w:sz w:val="22"/>
            <w:u w:val="single" w:color="0462C1"/>
          </w:rPr>
          <w:t> change/</w:t>
        </w:r>
        <w:r>
          <w:rPr>
            <w:sz w:val="22"/>
          </w:rPr>
          <w:t>.</w:t>
        </w:r>
      </w:hyperlink>
    </w:p>
    <w:p>
      <w:pPr>
        <w:pStyle w:val="ListParagraph"/>
        <w:numPr>
          <w:ilvl w:val="0"/>
          <w:numId w:val="1"/>
        </w:numPr>
        <w:tabs>
          <w:tab w:pos="560" w:val="left" w:leader="none"/>
          <w:tab w:pos="561" w:val="left" w:leader="none"/>
        </w:tabs>
        <w:spacing w:line="259" w:lineRule="auto" w:before="0" w:after="0"/>
        <w:ind w:left="560" w:right="274" w:hanging="360"/>
        <w:jc w:val="left"/>
        <w:rPr>
          <w:rFonts w:ascii="Symbol" w:hAnsi="Symbol"/>
          <w:sz w:val="22"/>
        </w:rPr>
      </w:pPr>
      <w:r>
        <w:rPr>
          <w:sz w:val="22"/>
        </w:rPr>
        <w:t>The Current (CBC Radio). 2021. “Talking about climate change requires honesty and connection — not just arguing, says author.”</w:t>
      </w:r>
      <w:r>
        <w:rPr>
          <w:color w:val="0462C1"/>
          <w:sz w:val="22"/>
        </w:rPr>
        <w:t> </w:t>
      </w:r>
      <w:hyperlink r:id="rId22">
        <w:r>
          <w:rPr>
            <w:color w:val="0462C1"/>
            <w:sz w:val="22"/>
            <w:u w:val="single" w:color="0462C1"/>
          </w:rPr>
          <w:t>https://www.cbc.ca/radio/thecurrent/the-current-for-sept-23-2021-</w:t>
        </w:r>
      </w:hyperlink>
      <w:hyperlink r:id="rId22">
        <w:r>
          <w:rPr>
            <w:color w:val="0462C1"/>
            <w:sz w:val="22"/>
            <w:u w:val="single" w:color="0462C1"/>
          </w:rPr>
          <w:t> 1.6186513/talking-about-climate-change-requires-honesty-and-connection-not-just-arguing-says-</w:t>
        </w:r>
      </w:hyperlink>
      <w:hyperlink r:id="rId22">
        <w:r>
          <w:rPr>
            <w:color w:val="0462C1"/>
            <w:sz w:val="22"/>
            <w:u w:val="single" w:color="0462C1"/>
          </w:rPr>
          <w:t> author-1.6174126</w:t>
        </w:r>
        <w:r>
          <w:rPr>
            <w:sz w:val="22"/>
          </w:rPr>
          <w:t>.</w:t>
        </w:r>
      </w:hyperlink>
    </w:p>
    <w:p>
      <w:pPr>
        <w:pStyle w:val="ListParagraph"/>
        <w:numPr>
          <w:ilvl w:val="0"/>
          <w:numId w:val="1"/>
        </w:numPr>
        <w:tabs>
          <w:tab w:pos="560" w:val="left" w:leader="none"/>
          <w:tab w:pos="561" w:val="left" w:leader="none"/>
        </w:tabs>
        <w:spacing w:line="259" w:lineRule="auto" w:before="0" w:after="0"/>
        <w:ind w:left="560" w:right="2951" w:hanging="360"/>
        <w:jc w:val="left"/>
        <w:rPr>
          <w:rFonts w:ascii="Symbol" w:hAnsi="Symbol"/>
          <w:sz w:val="22"/>
        </w:rPr>
      </w:pPr>
      <w:r>
        <w:rPr>
          <w:sz w:val="22"/>
        </w:rPr>
        <w:t>Climate Interactives. 2021. “En-Roads Climate Simulator.”</w:t>
      </w:r>
      <w:r>
        <w:rPr>
          <w:color w:val="0462C1"/>
          <w:sz w:val="22"/>
        </w:rPr>
        <w:t> </w:t>
      </w:r>
      <w:hyperlink r:id="rId9">
        <w:r>
          <w:rPr>
            <w:color w:val="0462C1"/>
            <w:sz w:val="22"/>
            <w:u w:val="single" w:color="0462C1"/>
          </w:rPr>
          <w:t>https://en-</w:t>
        </w:r>
      </w:hyperlink>
      <w:hyperlink r:id="rId9">
        <w:r>
          <w:rPr>
            <w:color w:val="0462C1"/>
            <w:sz w:val="22"/>
            <w:u w:val="single" w:color="0462C1"/>
          </w:rPr>
          <w:t> roads.climateinteractive.org/scenario.html?v=21.12.0</w:t>
        </w:r>
      </w:hyperlink>
      <w:r>
        <w:rPr>
          <w:sz w:val="22"/>
        </w:rPr>
        <w:t>.</w:t>
      </w:r>
    </w:p>
    <w:p>
      <w:pPr>
        <w:pStyle w:val="ListParagraph"/>
        <w:numPr>
          <w:ilvl w:val="0"/>
          <w:numId w:val="1"/>
        </w:numPr>
        <w:tabs>
          <w:tab w:pos="560" w:val="left" w:leader="none"/>
          <w:tab w:pos="561" w:val="left" w:leader="none"/>
        </w:tabs>
        <w:spacing w:line="259" w:lineRule="auto" w:before="0" w:after="0"/>
        <w:ind w:left="560" w:right="351" w:hanging="360"/>
        <w:jc w:val="left"/>
        <w:rPr>
          <w:rFonts w:ascii="Symbol" w:hAnsi="Symbol"/>
          <w:sz w:val="22"/>
        </w:rPr>
      </w:pPr>
      <w:r>
        <w:rPr>
          <w:sz w:val="22"/>
        </w:rPr>
        <w:t>NY Times. 2022 “Best ways to Reduce Carbon Footprint?”</w:t>
      </w:r>
      <w:hyperlink r:id="rId23">
        <w:r>
          <w:rPr>
            <w:color w:val="0462C1"/>
            <w:sz w:val="22"/>
            <w:u w:val="single" w:color="0462C1"/>
          </w:rPr>
          <w:t> </w:t>
        </w:r>
        <w:r>
          <w:rPr>
            <w:color w:val="0462C1"/>
            <w:spacing w:val="-1"/>
            <w:sz w:val="22"/>
            <w:u w:val="single" w:color="0462C1"/>
          </w:rPr>
          <w:t>https://www.nytimes.com/interactive/2022/12/15/opinion/how-reduce-carbon-footprint-climate-</w:t>
        </w:r>
      </w:hyperlink>
      <w:hyperlink r:id="rId23">
        <w:r>
          <w:rPr>
            <w:color w:val="0462C1"/>
            <w:spacing w:val="-1"/>
            <w:sz w:val="22"/>
            <w:u w:val="single" w:color="0462C1"/>
          </w:rPr>
          <w:t> </w:t>
        </w:r>
        <w:r>
          <w:rPr>
            <w:color w:val="0462C1"/>
            <w:sz w:val="22"/>
            <w:u w:val="single" w:color="0462C1"/>
          </w:rPr>
          <w:t>change.html</w:t>
        </w:r>
        <w:r>
          <w:rPr>
            <w:sz w:val="22"/>
          </w:rPr>
          <w:t>.</w:t>
        </w:r>
      </w:hyperlink>
    </w:p>
    <w:p>
      <w:pPr>
        <w:spacing w:after="0" w:line="259" w:lineRule="auto"/>
        <w:jc w:val="left"/>
        <w:rPr>
          <w:rFonts w:ascii="Symbol" w:hAnsi="Symbol"/>
          <w:sz w:val="22"/>
        </w:rPr>
        <w:sectPr>
          <w:pgSz w:w="12240" w:h="15840"/>
          <w:pgMar w:header="0" w:footer="1044" w:top="1400" w:bottom="1240" w:left="1240" w:right="1240"/>
        </w:sectPr>
      </w:pPr>
    </w:p>
    <w:p>
      <w:pPr>
        <w:pStyle w:val="Heading3"/>
      </w:pPr>
      <w:r>
        <w:rPr/>
        <w:t>January 17: The Climate Has Already Changed for Indigenous Peoples</w:t>
      </w:r>
    </w:p>
    <w:p>
      <w:pPr>
        <w:spacing w:before="1"/>
        <w:ind w:left="200" w:right="0" w:firstLine="0"/>
        <w:jc w:val="left"/>
        <w:rPr>
          <w:i/>
          <w:sz w:val="22"/>
        </w:rPr>
      </w:pPr>
      <w:r>
        <w:rPr>
          <w:i/>
          <w:sz w:val="22"/>
        </w:rPr>
        <w:t>Readings:</w:t>
      </w:r>
    </w:p>
    <w:p>
      <w:pPr>
        <w:pStyle w:val="ListParagraph"/>
        <w:numPr>
          <w:ilvl w:val="0"/>
          <w:numId w:val="1"/>
        </w:numPr>
        <w:tabs>
          <w:tab w:pos="560" w:val="left" w:leader="none"/>
          <w:tab w:pos="561" w:val="left" w:leader="none"/>
        </w:tabs>
        <w:spacing w:line="259" w:lineRule="auto" w:before="0" w:after="0"/>
        <w:ind w:left="560" w:right="709" w:hanging="360"/>
        <w:jc w:val="left"/>
        <w:rPr>
          <w:rFonts w:ascii="Symbol" w:hAnsi="Symbol"/>
          <w:sz w:val="22"/>
        </w:rPr>
      </w:pPr>
      <w:r>
        <w:rPr>
          <w:sz w:val="22"/>
        </w:rPr>
        <w:t>Canada.ca. 2021. “Canada’s Partnership with Indigenous Peoples on Climate.”</w:t>
      </w:r>
      <w:hyperlink r:id="rId24">
        <w:r>
          <w:rPr>
            <w:color w:val="0462C1"/>
            <w:sz w:val="22"/>
            <w:u w:val="single" w:color="0462C1"/>
          </w:rPr>
          <w:t> </w:t>
        </w:r>
        <w:r>
          <w:rPr>
            <w:color w:val="0462C1"/>
            <w:spacing w:val="-1"/>
            <w:sz w:val="22"/>
            <w:u w:val="single" w:color="0462C1"/>
          </w:rPr>
          <w:t>https://www.canada.ca/en/environment-climate-change/services/climate-change/indigenous-</w:t>
        </w:r>
      </w:hyperlink>
      <w:hyperlink r:id="rId24">
        <w:r>
          <w:rPr>
            <w:color w:val="0462C1"/>
            <w:spacing w:val="-1"/>
            <w:sz w:val="22"/>
            <w:u w:val="single" w:color="0462C1"/>
          </w:rPr>
          <w:t> </w:t>
        </w:r>
        <w:r>
          <w:rPr>
            <w:color w:val="0462C1"/>
            <w:sz w:val="22"/>
            <w:u w:val="single" w:color="0462C1"/>
          </w:rPr>
          <w:t>partnership.html</w:t>
        </w:r>
        <w:r>
          <w:rPr>
            <w:sz w:val="22"/>
          </w:rPr>
          <w:t>.</w:t>
        </w:r>
      </w:hyperlink>
    </w:p>
    <w:p>
      <w:pPr>
        <w:pStyle w:val="ListParagraph"/>
        <w:numPr>
          <w:ilvl w:val="0"/>
          <w:numId w:val="1"/>
        </w:numPr>
        <w:tabs>
          <w:tab w:pos="560" w:val="left" w:leader="none"/>
          <w:tab w:pos="561" w:val="left" w:leader="none"/>
        </w:tabs>
        <w:spacing w:line="279" w:lineRule="exact" w:before="0" w:after="0"/>
        <w:ind w:left="560" w:right="0" w:hanging="361"/>
        <w:jc w:val="left"/>
        <w:rPr>
          <w:rFonts w:ascii="Symbol" w:hAnsi="Symbol"/>
          <w:sz w:val="22"/>
        </w:rPr>
      </w:pPr>
      <w:r>
        <w:rPr>
          <w:sz w:val="22"/>
        </w:rPr>
        <w:t>Kyle Whyte. Forthcoming. “Way Beyond the Lifeboat: An Indigenous Allegory of Climate Justice,”</w:t>
      </w:r>
      <w:r>
        <w:rPr>
          <w:spacing w:val="-29"/>
          <w:sz w:val="22"/>
        </w:rPr>
        <w:t> </w:t>
      </w:r>
      <w:r>
        <w:rPr>
          <w:sz w:val="22"/>
        </w:rPr>
        <w:t>to</w:t>
      </w:r>
    </w:p>
    <w:p>
      <w:pPr>
        <w:spacing w:before="22"/>
        <w:ind w:left="560" w:right="0" w:firstLine="0"/>
        <w:jc w:val="left"/>
        <w:rPr>
          <w:sz w:val="22"/>
        </w:rPr>
      </w:pPr>
      <w:r>
        <w:rPr>
          <w:sz w:val="22"/>
        </w:rPr>
        <w:t>appear in </w:t>
      </w:r>
      <w:r>
        <w:rPr>
          <w:i/>
          <w:sz w:val="22"/>
        </w:rPr>
        <w:t>Climate Futures: Reimagining Global Climate Justice </w:t>
      </w:r>
      <w:r>
        <w:rPr>
          <w:sz w:val="22"/>
        </w:rPr>
        <w:t>(University of California Press).</w:t>
      </w:r>
    </w:p>
    <w:p>
      <w:pPr>
        <w:pStyle w:val="ListParagraph"/>
        <w:numPr>
          <w:ilvl w:val="0"/>
          <w:numId w:val="1"/>
        </w:numPr>
        <w:tabs>
          <w:tab w:pos="560" w:val="left" w:leader="none"/>
          <w:tab w:pos="561" w:val="left" w:leader="none"/>
        </w:tabs>
        <w:spacing w:line="259" w:lineRule="auto" w:before="20" w:after="0"/>
        <w:ind w:left="560" w:right="640" w:hanging="360"/>
        <w:jc w:val="left"/>
        <w:rPr>
          <w:rFonts w:ascii="Symbol" w:hAnsi="Symbol"/>
          <w:sz w:val="22"/>
        </w:rPr>
      </w:pPr>
      <w:r>
        <w:rPr>
          <w:sz w:val="22"/>
        </w:rPr>
        <w:t>Allison Ford, and Kari Marie Norgaard. 2020. “Whose everyday climate cultures? Environmental subjectivities and invisibility in climate change discourse.” </w:t>
      </w:r>
      <w:r>
        <w:rPr>
          <w:i/>
          <w:sz w:val="22"/>
        </w:rPr>
        <w:t>Climatic Change </w:t>
      </w:r>
      <w:r>
        <w:rPr>
          <w:sz w:val="22"/>
        </w:rPr>
        <w:t>(January)</w:t>
      </w:r>
      <w:hyperlink r:id="rId25">
        <w:r>
          <w:rPr>
            <w:color w:val="0462C1"/>
            <w:sz w:val="22"/>
            <w:u w:val="single" w:color="0462C1"/>
          </w:rPr>
          <w:t> https://doi.org/10.1007/s10584-019-02632-1</w:t>
        </w:r>
        <w:r>
          <w:rPr>
            <w:color w:val="121312"/>
            <w:sz w:val="22"/>
          </w:rPr>
          <w:t>.</w:t>
        </w:r>
      </w:hyperlink>
    </w:p>
    <w:p>
      <w:pPr>
        <w:pStyle w:val="ListParagraph"/>
        <w:numPr>
          <w:ilvl w:val="0"/>
          <w:numId w:val="1"/>
        </w:numPr>
        <w:tabs>
          <w:tab w:pos="560" w:val="left" w:leader="none"/>
          <w:tab w:pos="561" w:val="left" w:leader="none"/>
        </w:tabs>
        <w:spacing w:line="279" w:lineRule="exact" w:before="0" w:after="0"/>
        <w:ind w:left="560" w:right="0" w:hanging="361"/>
        <w:jc w:val="left"/>
        <w:rPr>
          <w:rFonts w:ascii="Symbol" w:hAnsi="Symbol"/>
          <w:i/>
          <w:sz w:val="22"/>
        </w:rPr>
      </w:pPr>
      <w:r>
        <w:rPr>
          <w:sz w:val="22"/>
        </w:rPr>
        <w:t>Onandaga Nation. 2022. </w:t>
      </w:r>
      <w:r>
        <w:rPr>
          <w:i/>
          <w:sz w:val="22"/>
        </w:rPr>
        <w:t>Two Row Wampum –</w:t>
      </w:r>
      <w:r>
        <w:rPr>
          <w:i/>
          <w:spacing w:val="-8"/>
          <w:sz w:val="22"/>
        </w:rPr>
        <w:t> </w:t>
      </w:r>
      <w:r>
        <w:rPr>
          <w:i/>
          <w:sz w:val="22"/>
        </w:rPr>
        <w:t>Gä•sweñta’.</w:t>
      </w:r>
    </w:p>
    <w:p>
      <w:pPr>
        <w:pStyle w:val="BodyText"/>
        <w:spacing w:before="22"/>
      </w:pPr>
      <w:hyperlink r:id="rId26">
        <w:r>
          <w:rPr>
            <w:color w:val="0462C1"/>
            <w:u w:val="single" w:color="0462C1"/>
          </w:rPr>
          <w:t>https://www.onondaganation.org/culture/wampum/two-row-wampum-belt-guswenta/</w:t>
        </w:r>
      </w:hyperlink>
      <w:r>
        <w:rPr>
          <w:color w:val="0462C1"/>
          <w:u w:val="single" w:color="0462C1"/>
        </w:rPr>
        <w:t>.</w:t>
      </w:r>
    </w:p>
    <w:p>
      <w:pPr>
        <w:pStyle w:val="ListParagraph"/>
        <w:numPr>
          <w:ilvl w:val="0"/>
          <w:numId w:val="1"/>
        </w:numPr>
        <w:tabs>
          <w:tab w:pos="560" w:val="left" w:leader="none"/>
          <w:tab w:pos="561" w:val="left" w:leader="none"/>
        </w:tabs>
        <w:spacing w:line="259" w:lineRule="auto" w:before="22" w:after="0"/>
        <w:ind w:left="560" w:right="1794" w:hanging="360"/>
        <w:jc w:val="left"/>
        <w:rPr>
          <w:rFonts w:ascii="Symbol" w:hAnsi="Symbol"/>
          <w:sz w:val="22"/>
        </w:rPr>
      </w:pPr>
      <w:r>
        <w:rPr>
          <w:i/>
          <w:sz w:val="22"/>
        </w:rPr>
        <w:t>Indian Time</w:t>
      </w:r>
      <w:r>
        <w:rPr>
          <w:sz w:val="22"/>
        </w:rPr>
        <w:t>. 2010. “The Dish with One Spoon.” </w:t>
      </w:r>
      <w:r>
        <w:rPr>
          <w:i/>
          <w:sz w:val="22"/>
        </w:rPr>
        <w:t>Indian Time </w:t>
      </w:r>
      <w:r>
        <w:rPr>
          <w:sz w:val="22"/>
        </w:rPr>
        <w:t>(August 5),</w:t>
      </w:r>
      <w:hyperlink r:id="rId27">
        <w:r>
          <w:rPr>
            <w:color w:val="0462C1"/>
            <w:sz w:val="22"/>
            <w:u w:val="single" w:color="0462C1"/>
          </w:rPr>
          <w:t> </w:t>
        </w:r>
        <w:r>
          <w:rPr>
            <w:color w:val="0462C1"/>
            <w:spacing w:val="-1"/>
            <w:sz w:val="22"/>
            <w:u w:val="single" w:color="0462C1"/>
          </w:rPr>
          <w:t>https://www.indiantime.net/story/2010/08/05/cultural-corner/the-dish-with-one-</w:t>
        </w:r>
      </w:hyperlink>
      <w:hyperlink r:id="rId27">
        <w:r>
          <w:rPr>
            <w:color w:val="0462C1"/>
            <w:spacing w:val="-1"/>
            <w:sz w:val="22"/>
            <w:u w:val="single" w:color="0462C1"/>
          </w:rPr>
          <w:t> </w:t>
        </w:r>
        <w:r>
          <w:rPr>
            <w:color w:val="0462C1"/>
            <w:sz w:val="22"/>
            <w:u w:val="single" w:color="0462C1"/>
          </w:rPr>
          <w:t>spoon/7510.html</w:t>
        </w:r>
        <w:r>
          <w:rPr>
            <w:sz w:val="22"/>
          </w:rPr>
          <w:t>.</w:t>
        </w:r>
      </w:hyperlink>
    </w:p>
    <w:p>
      <w:pPr>
        <w:pStyle w:val="ListParagraph"/>
        <w:numPr>
          <w:ilvl w:val="0"/>
          <w:numId w:val="1"/>
        </w:numPr>
        <w:tabs>
          <w:tab w:pos="560" w:val="left" w:leader="none"/>
          <w:tab w:pos="561" w:val="left" w:leader="none"/>
        </w:tabs>
        <w:spacing w:line="259" w:lineRule="auto" w:before="0" w:after="0"/>
        <w:ind w:left="560" w:right="2488" w:hanging="360"/>
        <w:jc w:val="left"/>
        <w:rPr>
          <w:rFonts w:ascii="Symbol" w:hAnsi="Symbol"/>
          <w:sz w:val="22"/>
        </w:rPr>
      </w:pPr>
      <w:r>
        <w:rPr>
          <w:sz w:val="22"/>
        </w:rPr>
        <w:t>Indigenous Perspectives: Sharing Indigenous Responses to Climate Change:</w:t>
      </w:r>
      <w:hyperlink r:id="rId16">
        <w:r>
          <w:rPr>
            <w:color w:val="0462C1"/>
            <w:sz w:val="22"/>
            <w:u w:val="single" w:color="0462C1"/>
          </w:rPr>
          <w:t> https://climateinstitute.ca/reports/indigenous-perspectives/</w:t>
        </w:r>
      </w:hyperlink>
      <w:r>
        <w:rPr>
          <w:sz w:val="22"/>
        </w:rPr>
        <w:t>.</w:t>
      </w:r>
    </w:p>
    <w:p>
      <w:pPr>
        <w:pStyle w:val="BodyText"/>
        <w:spacing w:before="10"/>
        <w:ind w:left="0"/>
        <w:rPr>
          <w:sz w:val="14"/>
        </w:rPr>
      </w:pPr>
    </w:p>
    <w:p>
      <w:pPr>
        <w:pStyle w:val="Heading3"/>
        <w:spacing w:before="57"/>
      </w:pPr>
      <w:r>
        <w:rPr/>
        <w:t>January 24: Sociological views of climate change</w:t>
      </w:r>
    </w:p>
    <w:p>
      <w:pPr>
        <w:spacing w:before="0"/>
        <w:ind w:left="200" w:right="0" w:firstLine="0"/>
        <w:jc w:val="left"/>
        <w:rPr>
          <w:i/>
          <w:sz w:val="22"/>
        </w:rPr>
      </w:pPr>
      <w:r>
        <w:rPr>
          <w:i/>
          <w:sz w:val="22"/>
        </w:rPr>
        <w:t>Readings:</w:t>
      </w:r>
    </w:p>
    <w:p>
      <w:pPr>
        <w:pStyle w:val="ListParagraph"/>
        <w:numPr>
          <w:ilvl w:val="0"/>
          <w:numId w:val="1"/>
        </w:numPr>
        <w:tabs>
          <w:tab w:pos="561" w:val="left" w:leader="none"/>
        </w:tabs>
        <w:spacing w:line="259" w:lineRule="auto" w:before="0" w:after="0"/>
        <w:ind w:left="560" w:right="215" w:hanging="360"/>
        <w:jc w:val="both"/>
        <w:rPr>
          <w:rFonts w:ascii="Symbol" w:hAnsi="Symbol"/>
          <w:sz w:val="22"/>
        </w:rPr>
      </w:pPr>
      <w:r>
        <w:rPr>
          <w:sz w:val="22"/>
        </w:rPr>
        <w:t>Robert Brulle and Riley E. Dunlap. 2015. “Sociology and Global Climate Change” Pp. 1-32 in </w:t>
      </w:r>
      <w:r>
        <w:rPr>
          <w:i/>
          <w:sz w:val="22"/>
        </w:rPr>
        <w:t>Climate </w:t>
      </w:r>
      <w:r>
        <w:rPr>
          <w:i/>
          <w:sz w:val="22"/>
        </w:rPr>
        <w:t>Change and Society: Sociological Perspectives</w:t>
      </w:r>
      <w:r>
        <w:rPr>
          <w:sz w:val="22"/>
        </w:rPr>
        <w:t>, edited by R. Brulle and R. Dunlap. Oxford Scholarship Online DOI:</w:t>
      </w:r>
      <w:r>
        <w:rPr>
          <w:spacing w:val="-2"/>
          <w:sz w:val="22"/>
        </w:rPr>
        <w:t> </w:t>
      </w:r>
      <w:r>
        <w:rPr>
          <w:sz w:val="22"/>
        </w:rPr>
        <w:t>10.1093/acprof:oso/9780199356102.001.0001.</w:t>
      </w:r>
    </w:p>
    <w:p>
      <w:pPr>
        <w:pStyle w:val="ListParagraph"/>
        <w:numPr>
          <w:ilvl w:val="0"/>
          <w:numId w:val="1"/>
        </w:numPr>
        <w:tabs>
          <w:tab w:pos="560" w:val="left" w:leader="none"/>
          <w:tab w:pos="561" w:val="left" w:leader="none"/>
        </w:tabs>
        <w:spacing w:line="259" w:lineRule="auto" w:before="0" w:after="0"/>
        <w:ind w:left="560" w:right="812" w:hanging="360"/>
        <w:jc w:val="left"/>
        <w:rPr>
          <w:rFonts w:ascii="Symbol" w:hAnsi="Symbol"/>
          <w:sz w:val="22"/>
        </w:rPr>
      </w:pPr>
      <w:r>
        <w:rPr>
          <w:sz w:val="22"/>
        </w:rPr>
        <w:t>Jorgenson, AK, Fiske, S, Hubacek, K, et al.. 2019. Social science perspectives on drivers of and responses to global climate change. </w:t>
      </w:r>
      <w:r>
        <w:rPr>
          <w:i/>
          <w:sz w:val="22"/>
        </w:rPr>
        <w:t>WIREs Climate Change</w:t>
      </w:r>
      <w:r>
        <w:rPr>
          <w:sz w:val="22"/>
        </w:rPr>
        <w:t>. 2019; 10:e554.</w:t>
      </w:r>
      <w:hyperlink r:id="rId28">
        <w:r>
          <w:rPr>
            <w:color w:val="0462C1"/>
            <w:sz w:val="22"/>
            <w:u w:val="single" w:color="0462C1"/>
          </w:rPr>
          <w:t> https://doi.org/10.1002/wcc.554</w:t>
        </w:r>
        <w:r>
          <w:rPr>
            <w:sz w:val="22"/>
          </w:rPr>
          <w:t>.</w:t>
        </w:r>
      </w:hyperlink>
    </w:p>
    <w:p>
      <w:pPr>
        <w:pStyle w:val="BodyText"/>
        <w:spacing w:before="11"/>
        <w:ind w:left="0"/>
        <w:rPr>
          <w:sz w:val="14"/>
        </w:rPr>
      </w:pPr>
    </w:p>
    <w:p>
      <w:pPr>
        <w:pStyle w:val="Heading3"/>
        <w:spacing w:before="56"/>
      </w:pPr>
      <w:r>
        <w:rPr/>
        <w:t>January 31: Health and illness</w:t>
      </w:r>
    </w:p>
    <w:p>
      <w:pPr>
        <w:spacing w:before="1"/>
        <w:ind w:left="200" w:right="0" w:firstLine="0"/>
        <w:jc w:val="left"/>
        <w:rPr>
          <w:i/>
          <w:sz w:val="22"/>
        </w:rPr>
      </w:pPr>
      <w:r>
        <w:rPr>
          <w:i/>
          <w:sz w:val="22"/>
        </w:rPr>
        <w:t>Readings:</w:t>
      </w:r>
    </w:p>
    <w:p>
      <w:pPr>
        <w:pStyle w:val="ListParagraph"/>
        <w:numPr>
          <w:ilvl w:val="0"/>
          <w:numId w:val="1"/>
        </w:numPr>
        <w:tabs>
          <w:tab w:pos="560" w:val="left" w:leader="none"/>
          <w:tab w:pos="561" w:val="left" w:leader="none"/>
        </w:tabs>
        <w:spacing w:line="259" w:lineRule="auto" w:before="0" w:after="0"/>
        <w:ind w:left="560" w:right="467" w:hanging="360"/>
        <w:jc w:val="left"/>
        <w:rPr>
          <w:rFonts w:ascii="Symbol" w:hAnsi="Symbol"/>
          <w:i/>
          <w:sz w:val="22"/>
        </w:rPr>
      </w:pPr>
      <w:r>
        <w:rPr>
          <w:sz w:val="22"/>
        </w:rPr>
        <w:t>Romanello et al. 2022. </w:t>
      </w:r>
      <w:r>
        <w:rPr>
          <w:i/>
          <w:sz w:val="22"/>
        </w:rPr>
        <w:t>The 2022 Report of the </w:t>
      </w:r>
      <w:r>
        <w:rPr>
          <w:sz w:val="22"/>
        </w:rPr>
        <w:t>Lancet </w:t>
      </w:r>
      <w:r>
        <w:rPr>
          <w:i/>
          <w:sz w:val="22"/>
        </w:rPr>
        <w:t>Countdown on Health and Climate Change: </w:t>
      </w:r>
      <w:r>
        <w:rPr>
          <w:i/>
          <w:sz w:val="22"/>
        </w:rPr>
        <w:t>Health at the Mercy of Fossil</w:t>
      </w:r>
      <w:r>
        <w:rPr>
          <w:i/>
          <w:spacing w:val="-5"/>
          <w:sz w:val="22"/>
        </w:rPr>
        <w:t> </w:t>
      </w:r>
      <w:r>
        <w:rPr>
          <w:i/>
          <w:sz w:val="22"/>
        </w:rPr>
        <w:t>Fuels.</w:t>
      </w:r>
    </w:p>
    <w:p>
      <w:pPr>
        <w:pStyle w:val="BodyText"/>
        <w:spacing w:line="259" w:lineRule="auto" w:before="1"/>
        <w:ind w:left="920" w:right="1892"/>
      </w:pPr>
      <w:r>
        <w:rPr/>
        <w:t>Section 1: Health Hazards, Exposures, and Impacts: </w:t>
      </w:r>
      <w:hyperlink r:id="rId29">
        <w:r>
          <w:rPr>
            <w:color w:val="0462C1"/>
            <w:u w:val="single" w:color="0462C1"/>
          </w:rPr>
          <w:t>https://www.thelancet.com/journals/lancet/article/PIIS0140-6736(22)01540-</w:t>
        </w:r>
      </w:hyperlink>
      <w:r>
        <w:rPr>
          <w:color w:val="0462C1"/>
        </w:rPr>
        <w:t> </w:t>
      </w:r>
      <w:hyperlink r:id="rId29">
        <w:r>
          <w:rPr>
            <w:color w:val="0462C1"/>
            <w:u w:val="single" w:color="0462C1"/>
          </w:rPr>
          <w:t>9/fulltext#seccestitle90</w:t>
        </w:r>
      </w:hyperlink>
    </w:p>
    <w:p>
      <w:pPr>
        <w:pStyle w:val="BodyText"/>
        <w:spacing w:before="4"/>
        <w:ind w:left="0"/>
        <w:rPr>
          <w:sz w:val="17"/>
        </w:rPr>
      </w:pPr>
    </w:p>
    <w:p>
      <w:pPr>
        <w:pStyle w:val="BodyText"/>
        <w:spacing w:before="56"/>
        <w:ind w:left="200"/>
      </w:pPr>
      <w:r>
        <w:rPr/>
        <w:t>See also, climate change and pandemics:</w:t>
      </w:r>
    </w:p>
    <w:p>
      <w:pPr>
        <w:pStyle w:val="ListParagraph"/>
        <w:numPr>
          <w:ilvl w:val="0"/>
          <w:numId w:val="1"/>
        </w:numPr>
        <w:tabs>
          <w:tab w:pos="560" w:val="left" w:leader="none"/>
          <w:tab w:pos="561" w:val="left" w:leader="none"/>
        </w:tabs>
        <w:spacing w:line="259" w:lineRule="auto" w:before="1" w:after="0"/>
        <w:ind w:left="560" w:right="276" w:hanging="360"/>
        <w:jc w:val="left"/>
        <w:rPr>
          <w:rFonts w:ascii="Symbol" w:hAnsi="Symbol"/>
          <w:sz w:val="22"/>
        </w:rPr>
      </w:pPr>
      <w:r>
        <w:rPr>
          <w:sz w:val="22"/>
        </w:rPr>
        <w:t>Michael Ryan Lengefeld, Greg Hooks, and Chad L. Smith. 2020. “Social Science Contributions to the Study of Zoonotic Spillover: Normal Accidents and Treadmill Theory.” </w:t>
      </w:r>
      <w:r>
        <w:rPr>
          <w:i/>
          <w:sz w:val="22"/>
        </w:rPr>
        <w:t>This View of Life.</w:t>
      </w:r>
      <w:hyperlink r:id="rId30">
        <w:r>
          <w:rPr>
            <w:i/>
            <w:color w:val="0462C1"/>
            <w:sz w:val="22"/>
            <w:u w:val="single" w:color="0462C1"/>
          </w:rPr>
          <w:t> </w:t>
        </w:r>
        <w:r>
          <w:rPr>
            <w:color w:val="0462C1"/>
            <w:sz w:val="22"/>
            <w:u w:val="single" w:color="0462C1"/>
          </w:rPr>
          <w:t>https://thisviewoflife.com/social-science-contributions-to-the-study-of-zoonotic-spillover-normal-</w:t>
        </w:r>
      </w:hyperlink>
      <w:hyperlink r:id="rId30">
        <w:r>
          <w:rPr>
            <w:color w:val="0462C1"/>
            <w:sz w:val="22"/>
            <w:u w:val="single" w:color="0462C1"/>
          </w:rPr>
          <w:t> accidents-and-treadmill-theory/</w:t>
        </w:r>
      </w:hyperlink>
    </w:p>
    <w:p>
      <w:pPr>
        <w:pStyle w:val="BodyText"/>
        <w:spacing w:line="259" w:lineRule="auto"/>
        <w:ind w:right="320"/>
        <w:jc w:val="both"/>
      </w:pPr>
      <w:r>
        <w:rPr/>
        <w:t>Jeff Berardelli. 2021. “Climate change ‘may have played a key role’ in coronavirus pandemic, study says.” </w:t>
      </w:r>
      <w:r>
        <w:rPr>
          <w:i/>
        </w:rPr>
        <w:t>CBS News </w:t>
      </w:r>
      <w:r>
        <w:rPr/>
        <w:t>(February 5). </w:t>
      </w:r>
      <w:hyperlink r:id="rId31">
        <w:r>
          <w:rPr>
            <w:color w:val="0462C1"/>
            <w:u w:val="single" w:color="0462C1"/>
          </w:rPr>
          <w:t>https://www.cbsnews.com/news/climate-change-coronavirus-bats-</w:t>
        </w:r>
      </w:hyperlink>
      <w:r>
        <w:rPr>
          <w:color w:val="0462C1"/>
        </w:rPr>
        <w:t> </w:t>
      </w:r>
      <w:hyperlink r:id="rId31">
        <w:r>
          <w:rPr>
            <w:color w:val="0462C1"/>
            <w:u w:val="single" w:color="0462C1"/>
          </w:rPr>
          <w:t>study/</w:t>
        </w:r>
      </w:hyperlink>
    </w:p>
    <w:p>
      <w:pPr>
        <w:spacing w:after="0" w:line="259" w:lineRule="auto"/>
        <w:jc w:val="both"/>
        <w:sectPr>
          <w:pgSz w:w="12240" w:h="15840"/>
          <w:pgMar w:header="0" w:footer="1044" w:top="1400" w:bottom="1240" w:left="1240" w:right="1240"/>
        </w:sectPr>
      </w:pPr>
    </w:p>
    <w:p>
      <w:pPr>
        <w:pStyle w:val="Heading3"/>
      </w:pPr>
      <w:r>
        <w:rPr/>
        <w:t>February 7: Food and water</w:t>
      </w:r>
    </w:p>
    <w:p>
      <w:pPr>
        <w:spacing w:before="1"/>
        <w:ind w:left="200" w:right="0" w:firstLine="0"/>
        <w:jc w:val="left"/>
        <w:rPr>
          <w:sz w:val="22"/>
        </w:rPr>
      </w:pPr>
      <w:r>
        <w:rPr>
          <w:i/>
          <w:sz w:val="22"/>
        </w:rPr>
        <w:t>Readings</w:t>
      </w:r>
      <w:r>
        <w:rPr>
          <w:sz w:val="22"/>
        </w:rPr>
        <w:t>:</w:t>
      </w:r>
    </w:p>
    <w:p>
      <w:pPr>
        <w:pStyle w:val="ListParagraph"/>
        <w:numPr>
          <w:ilvl w:val="0"/>
          <w:numId w:val="1"/>
        </w:numPr>
        <w:tabs>
          <w:tab w:pos="560" w:val="left" w:leader="none"/>
          <w:tab w:pos="561" w:val="left" w:leader="none"/>
        </w:tabs>
        <w:spacing w:line="240" w:lineRule="auto" w:before="0" w:after="0"/>
        <w:ind w:left="560" w:right="0" w:hanging="361"/>
        <w:jc w:val="left"/>
        <w:rPr>
          <w:rFonts w:ascii="Symbol" w:hAnsi="Symbol"/>
          <w:i/>
          <w:sz w:val="22"/>
        </w:rPr>
      </w:pPr>
      <w:r>
        <w:rPr>
          <w:sz w:val="22"/>
        </w:rPr>
        <w:t>UNICEF. 2017. </w:t>
      </w:r>
      <w:r>
        <w:rPr>
          <w:i/>
          <w:sz w:val="22"/>
        </w:rPr>
        <w:t>Thirsting for a Future: Water and Children in a Changing</w:t>
      </w:r>
      <w:r>
        <w:rPr>
          <w:i/>
          <w:spacing w:val="-12"/>
          <w:sz w:val="22"/>
        </w:rPr>
        <w:t> </w:t>
      </w:r>
      <w:r>
        <w:rPr>
          <w:i/>
          <w:sz w:val="22"/>
        </w:rPr>
        <w:t>Climate.</w:t>
      </w:r>
    </w:p>
    <w:p>
      <w:pPr>
        <w:pStyle w:val="BodyText"/>
        <w:spacing w:before="20"/>
      </w:pPr>
      <w:hyperlink r:id="rId32">
        <w:r>
          <w:rPr>
            <w:color w:val="0462C1"/>
            <w:u w:val="single" w:color="0462C1"/>
          </w:rPr>
          <w:t>https://www.unicef.org/reports/thirsting-future</w:t>
        </w:r>
      </w:hyperlink>
      <w:r>
        <w:rPr/>
        <w:t>.</w:t>
      </w:r>
    </w:p>
    <w:p>
      <w:pPr>
        <w:pStyle w:val="ListParagraph"/>
        <w:numPr>
          <w:ilvl w:val="0"/>
          <w:numId w:val="1"/>
        </w:numPr>
        <w:tabs>
          <w:tab w:pos="560" w:val="left" w:leader="none"/>
          <w:tab w:pos="561" w:val="left" w:leader="none"/>
        </w:tabs>
        <w:spacing w:line="259" w:lineRule="auto" w:before="22" w:after="0"/>
        <w:ind w:left="560" w:right="418" w:hanging="360"/>
        <w:jc w:val="left"/>
        <w:rPr>
          <w:rFonts w:ascii="Symbol" w:hAnsi="Symbol"/>
          <w:sz w:val="22"/>
        </w:rPr>
      </w:pPr>
      <w:r>
        <w:rPr>
          <w:sz w:val="22"/>
        </w:rPr>
        <w:t>Michael Kimmelman. 2017. “Mexico City, Parched and Sinking, Faces a Water Crisis.” </w:t>
      </w:r>
      <w:r>
        <w:rPr>
          <w:i/>
          <w:sz w:val="22"/>
        </w:rPr>
        <w:t>New York </w:t>
      </w:r>
      <w:r>
        <w:rPr>
          <w:i/>
          <w:sz w:val="22"/>
        </w:rPr>
        <w:t>Times </w:t>
      </w:r>
      <w:r>
        <w:rPr>
          <w:sz w:val="22"/>
        </w:rPr>
        <w:t>(February 17).</w:t>
      </w:r>
      <w:r>
        <w:rPr>
          <w:color w:val="0462C1"/>
          <w:sz w:val="22"/>
        </w:rPr>
        <w:t> </w:t>
      </w:r>
      <w:hyperlink r:id="rId33">
        <w:r>
          <w:rPr>
            <w:color w:val="0462C1"/>
            <w:sz w:val="22"/>
            <w:u w:val="single" w:color="0462C1"/>
          </w:rPr>
          <w:t>https://www.nytimes.com/interactive/2017/02/17/world/americas/mexico-</w:t>
        </w:r>
      </w:hyperlink>
      <w:hyperlink r:id="rId33">
        <w:r>
          <w:rPr>
            <w:color w:val="0462C1"/>
            <w:sz w:val="22"/>
            <w:u w:val="single" w:color="0462C1"/>
          </w:rPr>
          <w:t> city-sinking.html</w:t>
        </w:r>
        <w:r>
          <w:rPr>
            <w:sz w:val="22"/>
          </w:rPr>
          <w:t>.</w:t>
        </w:r>
      </w:hyperlink>
    </w:p>
    <w:p>
      <w:pPr>
        <w:pStyle w:val="ListParagraph"/>
        <w:numPr>
          <w:ilvl w:val="0"/>
          <w:numId w:val="1"/>
        </w:numPr>
        <w:tabs>
          <w:tab w:pos="561" w:val="left" w:leader="none"/>
        </w:tabs>
        <w:spacing w:line="259" w:lineRule="auto" w:before="0" w:after="0"/>
        <w:ind w:left="560" w:right="301" w:hanging="360"/>
        <w:jc w:val="both"/>
        <w:rPr>
          <w:rFonts w:ascii="Symbol" w:hAnsi="Symbol"/>
          <w:sz w:val="22"/>
        </w:rPr>
      </w:pPr>
      <w:r>
        <w:rPr>
          <w:sz w:val="22"/>
        </w:rPr>
        <w:t>Georgina Gustin. 2019. “World Hunger Rises with Climate Shocks, Conflict and Economic Slumps.” </w:t>
      </w:r>
      <w:r>
        <w:rPr>
          <w:i/>
          <w:sz w:val="22"/>
        </w:rPr>
        <w:t>Inside Climate News </w:t>
      </w:r>
      <w:r>
        <w:rPr>
          <w:sz w:val="22"/>
        </w:rPr>
        <w:t>(July 15).</w:t>
      </w:r>
      <w:r>
        <w:rPr>
          <w:color w:val="0462C1"/>
          <w:sz w:val="22"/>
        </w:rPr>
        <w:t> </w:t>
      </w:r>
      <w:hyperlink r:id="rId34">
        <w:r>
          <w:rPr>
            <w:color w:val="0462C1"/>
            <w:sz w:val="22"/>
            <w:u w:val="single" w:color="0462C1"/>
          </w:rPr>
          <w:t>https://insideclimatenews.org/news/15072019/world-hunger-rising-</w:t>
        </w:r>
      </w:hyperlink>
      <w:hyperlink r:id="rId34">
        <w:r>
          <w:rPr>
            <w:color w:val="0462C1"/>
            <w:sz w:val="22"/>
            <w:u w:val="single" w:color="0462C1"/>
          </w:rPr>
          <w:t> climate-shocks-and-conflicts-and-economic-slumps-slow-recovery/</w:t>
        </w:r>
        <w:r>
          <w:rPr>
            <w:sz w:val="22"/>
          </w:rPr>
          <w:t>.</w:t>
        </w:r>
      </w:hyperlink>
    </w:p>
    <w:p>
      <w:pPr>
        <w:pStyle w:val="BodyText"/>
        <w:spacing w:before="10"/>
        <w:ind w:left="0"/>
        <w:rPr>
          <w:sz w:val="14"/>
        </w:rPr>
      </w:pPr>
    </w:p>
    <w:p>
      <w:pPr>
        <w:pStyle w:val="BodyText"/>
        <w:spacing w:before="56"/>
        <w:ind w:left="200"/>
      </w:pPr>
      <w:r>
        <w:rPr/>
        <w:t>See also:</w:t>
      </w:r>
    </w:p>
    <w:p>
      <w:pPr>
        <w:pStyle w:val="ListParagraph"/>
        <w:numPr>
          <w:ilvl w:val="0"/>
          <w:numId w:val="1"/>
        </w:numPr>
        <w:tabs>
          <w:tab w:pos="557" w:val="left" w:leader="none"/>
          <w:tab w:pos="559" w:val="left" w:leader="none"/>
        </w:tabs>
        <w:spacing w:line="259" w:lineRule="auto" w:before="2" w:after="0"/>
        <w:ind w:left="558" w:right="419" w:hanging="358"/>
        <w:jc w:val="left"/>
        <w:rPr>
          <w:rFonts w:ascii="Symbol" w:hAnsi="Symbol"/>
          <w:sz w:val="22"/>
        </w:rPr>
      </w:pPr>
      <w:r>
        <w:rPr>
          <w:sz w:val="22"/>
        </w:rPr>
        <w:t>IPCC</w:t>
      </w:r>
      <w:r>
        <w:rPr>
          <w:color w:val="0461C1"/>
          <w:sz w:val="22"/>
        </w:rPr>
        <w:t>, “</w:t>
      </w:r>
      <w:r>
        <w:rPr>
          <w:sz w:val="22"/>
        </w:rPr>
        <w:t>Climate Change and Land: An IPCC Special Report on climate change, desertification, land degradation, sustainable land management, food security, and greenhouse gas fluxes in terrestrial ecosystems,”</w:t>
      </w:r>
      <w:r>
        <w:rPr>
          <w:color w:val="0462C1"/>
          <w:spacing w:val="-1"/>
          <w:sz w:val="22"/>
        </w:rPr>
        <w:t> </w:t>
      </w:r>
      <w:hyperlink r:id="rId35">
        <w:r>
          <w:rPr>
            <w:color w:val="0462C1"/>
            <w:sz w:val="22"/>
            <w:u w:val="single" w:color="0462C1"/>
          </w:rPr>
          <w:t>https://www.ipcc.ch/srccl/</w:t>
        </w:r>
      </w:hyperlink>
    </w:p>
    <w:p>
      <w:pPr>
        <w:pStyle w:val="ListParagraph"/>
        <w:numPr>
          <w:ilvl w:val="0"/>
          <w:numId w:val="1"/>
        </w:numPr>
        <w:tabs>
          <w:tab w:pos="557" w:val="left" w:leader="none"/>
          <w:tab w:pos="559" w:val="left" w:leader="none"/>
        </w:tabs>
        <w:spacing w:line="256" w:lineRule="auto" w:before="1" w:after="0"/>
        <w:ind w:left="558" w:right="470" w:hanging="358"/>
        <w:jc w:val="left"/>
        <w:rPr>
          <w:rFonts w:ascii="Symbol" w:hAnsi="Symbol"/>
          <w:i/>
          <w:sz w:val="22"/>
        </w:rPr>
      </w:pPr>
      <w:r>
        <w:rPr>
          <w:sz w:val="22"/>
        </w:rPr>
        <w:t>Romanello et al. 2022. </w:t>
      </w:r>
      <w:r>
        <w:rPr>
          <w:i/>
          <w:sz w:val="22"/>
        </w:rPr>
        <w:t>The 2022 Report of the </w:t>
      </w:r>
      <w:r>
        <w:rPr>
          <w:sz w:val="22"/>
        </w:rPr>
        <w:t>Lancet </w:t>
      </w:r>
      <w:r>
        <w:rPr>
          <w:i/>
          <w:sz w:val="22"/>
        </w:rPr>
        <w:t>Countdown on Health and Climate Change: </w:t>
      </w:r>
      <w:r>
        <w:rPr>
          <w:i/>
          <w:sz w:val="22"/>
        </w:rPr>
        <w:t>Health at the Mercy of Fossil</w:t>
      </w:r>
      <w:r>
        <w:rPr>
          <w:i/>
          <w:spacing w:val="-5"/>
          <w:sz w:val="22"/>
        </w:rPr>
        <w:t> </w:t>
      </w:r>
      <w:r>
        <w:rPr>
          <w:i/>
          <w:sz w:val="22"/>
        </w:rPr>
        <w:t>Fuels.</w:t>
      </w:r>
    </w:p>
    <w:p>
      <w:pPr>
        <w:pStyle w:val="BodyText"/>
        <w:spacing w:line="259" w:lineRule="auto" w:before="3"/>
        <w:ind w:left="920" w:right="1892"/>
      </w:pPr>
      <w:r>
        <w:rPr/>
        <w:t>Indicator 3.5: Food, Agriculture, and Health: </w:t>
      </w:r>
      <w:hyperlink r:id="rId36">
        <w:r>
          <w:rPr>
            <w:color w:val="0462C1"/>
            <w:u w:val="single" w:color="0462C1"/>
          </w:rPr>
          <w:t>https://www.thelancet.com/journals/lancet/article/PIIS0140-6736(22)01540-</w:t>
        </w:r>
      </w:hyperlink>
      <w:r>
        <w:rPr>
          <w:color w:val="0462C1"/>
        </w:rPr>
        <w:t> </w:t>
      </w:r>
      <w:hyperlink r:id="rId36">
        <w:r>
          <w:rPr>
            <w:color w:val="0462C1"/>
            <w:u w:val="single" w:color="0462C1"/>
          </w:rPr>
          <w:t>9/fulltext#seccestitle430</w:t>
        </w:r>
      </w:hyperlink>
    </w:p>
    <w:p>
      <w:pPr>
        <w:pStyle w:val="BodyText"/>
        <w:spacing w:before="4"/>
        <w:ind w:left="0"/>
        <w:rPr>
          <w:sz w:val="17"/>
        </w:rPr>
      </w:pPr>
    </w:p>
    <w:p>
      <w:pPr>
        <w:pStyle w:val="Heading3"/>
        <w:spacing w:before="56"/>
      </w:pPr>
      <w:r>
        <w:rPr/>
        <w:t>Februrary 14: Unequal impacts</w:t>
      </w:r>
    </w:p>
    <w:p>
      <w:pPr>
        <w:spacing w:before="1"/>
        <w:ind w:left="200" w:right="0" w:firstLine="0"/>
        <w:jc w:val="left"/>
        <w:rPr>
          <w:i/>
          <w:sz w:val="22"/>
        </w:rPr>
      </w:pPr>
      <w:r>
        <w:rPr>
          <w:i/>
          <w:sz w:val="22"/>
        </w:rPr>
        <w:t>Readings:</w:t>
      </w:r>
    </w:p>
    <w:p>
      <w:pPr>
        <w:pStyle w:val="ListParagraph"/>
        <w:numPr>
          <w:ilvl w:val="0"/>
          <w:numId w:val="1"/>
        </w:numPr>
        <w:tabs>
          <w:tab w:pos="560" w:val="left" w:leader="none"/>
          <w:tab w:pos="561" w:val="left" w:leader="none"/>
        </w:tabs>
        <w:spacing w:line="259" w:lineRule="auto" w:before="0" w:after="0"/>
        <w:ind w:left="560" w:right="347" w:hanging="360"/>
        <w:jc w:val="left"/>
        <w:rPr>
          <w:rFonts w:ascii="Symbol" w:hAnsi="Symbol"/>
          <w:sz w:val="22"/>
        </w:rPr>
      </w:pPr>
      <w:r>
        <w:rPr>
          <w:sz w:val="22"/>
        </w:rPr>
        <w:t>Sharon Harla, David Pellow, Timmons Roberts, Shannon Bell. William Holt, and Joane Nagel. 2015. “Climate Justice and Inequality.” Pp. 128-163 in </w:t>
      </w:r>
      <w:r>
        <w:rPr>
          <w:i/>
          <w:sz w:val="22"/>
        </w:rPr>
        <w:t>Climate Change and Society: Sociological </w:t>
      </w:r>
      <w:r>
        <w:rPr>
          <w:i/>
          <w:sz w:val="22"/>
        </w:rPr>
        <w:t>Perspectives</w:t>
      </w:r>
      <w:r>
        <w:rPr>
          <w:sz w:val="22"/>
        </w:rPr>
        <w:t>, edited by R. Brulle and R. Dunlap. Oxford Scholarship Online DOI: 10.1093/acprof:oso/9780199356102.003.0005.</w:t>
      </w:r>
    </w:p>
    <w:p>
      <w:pPr>
        <w:pStyle w:val="BodyText"/>
        <w:spacing w:line="268" w:lineRule="exact"/>
        <w:ind w:left="200"/>
      </w:pPr>
      <w:r>
        <w:rPr/>
        <w:t>See also:</w:t>
      </w:r>
    </w:p>
    <w:p>
      <w:pPr>
        <w:pStyle w:val="ListParagraph"/>
        <w:numPr>
          <w:ilvl w:val="0"/>
          <w:numId w:val="1"/>
        </w:numPr>
        <w:tabs>
          <w:tab w:pos="560" w:val="left" w:leader="none"/>
          <w:tab w:pos="561" w:val="left" w:leader="none"/>
        </w:tabs>
        <w:spacing w:line="259" w:lineRule="auto" w:before="1" w:after="0"/>
        <w:ind w:left="560" w:right="412" w:hanging="360"/>
        <w:jc w:val="left"/>
        <w:rPr>
          <w:rFonts w:ascii="Symbol" w:hAnsi="Symbol"/>
          <w:sz w:val="22"/>
        </w:rPr>
      </w:pPr>
      <w:r>
        <w:rPr>
          <w:sz w:val="22"/>
        </w:rPr>
        <w:t>Peter Newell, Shilpi Srivastava, Lars Otto Naess, Gerardo A. Torres Contreras, and Roz Price. 2021. “Toward transformative climate justice: An emerging research agenda.” </w:t>
      </w:r>
      <w:r>
        <w:rPr>
          <w:i/>
          <w:sz w:val="22"/>
        </w:rPr>
        <w:t>WIREs Climate Change </w:t>
      </w:r>
      <w:r>
        <w:rPr>
          <w:sz w:val="22"/>
        </w:rPr>
        <w:t>(November/December) e733.</w:t>
      </w:r>
      <w:r>
        <w:rPr>
          <w:color w:val="0462C1"/>
          <w:spacing w:val="48"/>
          <w:sz w:val="22"/>
        </w:rPr>
        <w:t> </w:t>
      </w:r>
      <w:hyperlink r:id="rId37">
        <w:r>
          <w:rPr>
            <w:color w:val="0462C1"/>
            <w:sz w:val="22"/>
            <w:u w:val="single" w:color="0462C1"/>
          </w:rPr>
          <w:t>https://doi.org/10.1002/wcc.733</w:t>
        </w:r>
        <w:r>
          <w:rPr>
            <w:sz w:val="22"/>
          </w:rPr>
          <w:t>.</w:t>
        </w:r>
      </w:hyperlink>
    </w:p>
    <w:p>
      <w:pPr>
        <w:pStyle w:val="BodyText"/>
        <w:spacing w:before="12"/>
        <w:ind w:left="0"/>
        <w:rPr>
          <w:sz w:val="15"/>
        </w:rPr>
      </w:pPr>
    </w:p>
    <w:p>
      <w:pPr>
        <w:pStyle w:val="Heading1"/>
        <w:spacing w:before="44"/>
      </w:pPr>
      <w:r>
        <w:rPr/>
        <w:t>February 21 – no class meeting - Reading Week</w:t>
      </w:r>
    </w:p>
    <w:p>
      <w:pPr>
        <w:pStyle w:val="BodyText"/>
        <w:spacing w:before="10"/>
        <w:ind w:left="0"/>
        <w:rPr>
          <w:b/>
          <w:sz w:val="21"/>
        </w:rPr>
      </w:pPr>
    </w:p>
    <w:p>
      <w:pPr>
        <w:pStyle w:val="Heading3"/>
        <w:spacing w:before="1"/>
      </w:pPr>
      <w:r>
        <w:rPr/>
        <w:t>February</w:t>
      </w:r>
      <w:r>
        <w:rPr>
          <w:spacing w:val="-4"/>
        </w:rPr>
        <w:t> </w:t>
      </w:r>
      <w:r>
        <w:rPr/>
        <w:t>28:</w:t>
      </w:r>
    </w:p>
    <w:p>
      <w:pPr>
        <w:pStyle w:val="ListParagraph"/>
        <w:numPr>
          <w:ilvl w:val="0"/>
          <w:numId w:val="1"/>
        </w:numPr>
        <w:tabs>
          <w:tab w:pos="560" w:val="left" w:leader="none"/>
          <w:tab w:pos="561" w:val="left" w:leader="none"/>
        </w:tabs>
        <w:spacing w:line="240" w:lineRule="auto" w:before="1" w:after="0"/>
        <w:ind w:left="560" w:right="0" w:hanging="361"/>
        <w:jc w:val="left"/>
        <w:rPr>
          <w:rFonts w:ascii="Symbol" w:hAnsi="Symbol"/>
          <w:sz w:val="22"/>
        </w:rPr>
      </w:pPr>
      <w:r>
        <w:rPr>
          <w:sz w:val="22"/>
        </w:rPr>
        <w:t>Orientation for Climate Interactives – global climate summit role-playing (March 7</w:t>
      </w:r>
      <w:r>
        <w:rPr>
          <w:sz w:val="22"/>
          <w:vertAlign w:val="superscript"/>
        </w:rPr>
        <w:t>th</w:t>
      </w:r>
      <w:r>
        <w:rPr>
          <w:sz w:val="22"/>
          <w:vertAlign w:val="baseline"/>
        </w:rPr>
        <w:t> class</w:t>
      </w:r>
      <w:r>
        <w:rPr>
          <w:spacing w:val="-26"/>
          <w:sz w:val="22"/>
          <w:vertAlign w:val="baseline"/>
        </w:rPr>
        <w:t> </w:t>
      </w:r>
      <w:r>
        <w:rPr>
          <w:sz w:val="22"/>
          <w:vertAlign w:val="baseline"/>
        </w:rPr>
        <w:t>meeting)</w:t>
      </w:r>
    </w:p>
    <w:p>
      <w:pPr>
        <w:pStyle w:val="Heading3"/>
        <w:numPr>
          <w:ilvl w:val="0"/>
          <w:numId w:val="1"/>
        </w:numPr>
        <w:tabs>
          <w:tab w:pos="560" w:val="left" w:leader="none"/>
          <w:tab w:pos="561" w:val="left" w:leader="none"/>
        </w:tabs>
        <w:spacing w:line="240" w:lineRule="auto" w:before="22" w:after="0"/>
        <w:ind w:left="560" w:right="0" w:hanging="361"/>
        <w:jc w:val="left"/>
        <w:rPr>
          <w:rFonts w:ascii="Symbol" w:hAnsi="Symbol"/>
        </w:rPr>
      </w:pPr>
      <w:r>
        <w:rPr/>
        <w:t>In-class Midterm</w:t>
      </w:r>
      <w:r>
        <w:rPr>
          <w:spacing w:val="-1"/>
        </w:rPr>
        <w:t> </w:t>
      </w:r>
      <w:r>
        <w:rPr/>
        <w:t>Exam</w:t>
      </w:r>
    </w:p>
    <w:p>
      <w:pPr>
        <w:pStyle w:val="BodyText"/>
        <w:spacing w:before="3"/>
        <w:ind w:left="0"/>
        <w:rPr>
          <w:b/>
          <w:sz w:val="21"/>
        </w:rPr>
      </w:pPr>
    </w:p>
    <w:p>
      <w:pPr>
        <w:spacing w:before="0"/>
        <w:ind w:left="200" w:right="0" w:firstLine="0"/>
        <w:jc w:val="left"/>
        <w:rPr>
          <w:b/>
          <w:sz w:val="22"/>
        </w:rPr>
      </w:pPr>
      <w:r>
        <w:rPr>
          <w:b/>
          <w:sz w:val="22"/>
        </w:rPr>
        <w:t>March 7: Global Climate Summit</w:t>
      </w:r>
    </w:p>
    <w:p>
      <w:pPr>
        <w:pStyle w:val="ListParagraph"/>
        <w:numPr>
          <w:ilvl w:val="0"/>
          <w:numId w:val="1"/>
        </w:numPr>
        <w:tabs>
          <w:tab w:pos="560" w:val="left" w:leader="none"/>
          <w:tab w:pos="561" w:val="left" w:leader="none"/>
        </w:tabs>
        <w:spacing w:line="259" w:lineRule="auto" w:before="1" w:after="0"/>
        <w:ind w:left="560" w:right="2968" w:hanging="360"/>
        <w:jc w:val="left"/>
        <w:rPr>
          <w:rFonts w:ascii="Symbol" w:hAnsi="Symbol"/>
          <w:sz w:val="22"/>
        </w:rPr>
      </w:pPr>
      <w:r>
        <w:rPr>
          <w:sz w:val="22"/>
        </w:rPr>
        <w:t>Climate interactives – global climate summit role-playing:</w:t>
      </w:r>
      <w:hyperlink r:id="rId38">
        <w:r>
          <w:rPr>
            <w:color w:val="0462C1"/>
            <w:sz w:val="22"/>
            <w:u w:val="single" w:color="0462C1"/>
          </w:rPr>
          <w:t> </w:t>
        </w:r>
        <w:r>
          <w:rPr>
            <w:color w:val="0462C1"/>
            <w:spacing w:val="-1"/>
            <w:sz w:val="22"/>
            <w:u w:val="single" w:color="0462C1"/>
          </w:rPr>
          <w:t>https://www.climateinteractive.org/tools/climate-action-simulation/</w:t>
        </w:r>
        <w:r>
          <w:rPr>
            <w:spacing w:val="-1"/>
            <w:sz w:val="22"/>
          </w:rPr>
          <w:t>.</w:t>
        </w:r>
      </w:hyperlink>
    </w:p>
    <w:p>
      <w:pPr>
        <w:spacing w:after="0" w:line="259" w:lineRule="auto"/>
        <w:jc w:val="left"/>
        <w:rPr>
          <w:rFonts w:ascii="Symbol" w:hAnsi="Symbol"/>
          <w:sz w:val="22"/>
        </w:rPr>
        <w:sectPr>
          <w:pgSz w:w="12240" w:h="15840"/>
          <w:pgMar w:header="0" w:footer="1044" w:top="1400" w:bottom="1240" w:left="1240" w:right="1240"/>
        </w:sectPr>
      </w:pPr>
    </w:p>
    <w:p>
      <w:pPr>
        <w:pStyle w:val="Heading3"/>
      </w:pPr>
      <w:r>
        <w:rPr/>
        <w:t>March 14: Science, markets and organizations</w:t>
      </w:r>
    </w:p>
    <w:p>
      <w:pPr>
        <w:spacing w:before="1"/>
        <w:ind w:left="200" w:right="0" w:firstLine="0"/>
        <w:jc w:val="left"/>
        <w:rPr>
          <w:i/>
          <w:sz w:val="22"/>
        </w:rPr>
      </w:pPr>
      <w:r>
        <w:rPr>
          <w:i/>
          <w:sz w:val="22"/>
        </w:rPr>
        <w:t>Readings:</w:t>
      </w:r>
    </w:p>
    <w:p>
      <w:pPr>
        <w:pStyle w:val="ListParagraph"/>
        <w:numPr>
          <w:ilvl w:val="0"/>
          <w:numId w:val="1"/>
        </w:numPr>
        <w:tabs>
          <w:tab w:pos="557" w:val="left" w:leader="none"/>
          <w:tab w:pos="559" w:val="left" w:leader="none"/>
        </w:tabs>
        <w:spacing w:line="256" w:lineRule="auto" w:before="2" w:after="0"/>
        <w:ind w:left="558" w:right="258" w:hanging="358"/>
        <w:jc w:val="left"/>
        <w:rPr>
          <w:rFonts w:ascii="Symbol" w:hAnsi="Symbol"/>
          <w:sz w:val="24"/>
        </w:rPr>
      </w:pPr>
      <w:r>
        <w:rPr>
          <w:sz w:val="22"/>
        </w:rPr>
        <w:t>Charles Perrow and Simone Pulver. 2015. “Organizations and Markets.” Pp. 61-92 in </w:t>
      </w:r>
      <w:r>
        <w:rPr>
          <w:i/>
          <w:sz w:val="22"/>
        </w:rPr>
        <w:t>Climate </w:t>
      </w:r>
      <w:r>
        <w:rPr>
          <w:i/>
          <w:sz w:val="22"/>
        </w:rPr>
        <w:t>Change and Society: Sociological Perspectives</w:t>
      </w:r>
      <w:r>
        <w:rPr>
          <w:sz w:val="22"/>
        </w:rPr>
        <w:t>, edited by R. Brulle and R. Dunlap. Oxford Scholarship Online DOI:</w:t>
      </w:r>
      <w:r>
        <w:rPr>
          <w:spacing w:val="-1"/>
          <w:sz w:val="22"/>
        </w:rPr>
        <w:t> </w:t>
      </w:r>
      <w:r>
        <w:rPr>
          <w:sz w:val="22"/>
        </w:rPr>
        <w:t>10.1093/acprof:oso/9780199356102.003.0003.</w:t>
      </w:r>
    </w:p>
    <w:p>
      <w:pPr>
        <w:pStyle w:val="ListParagraph"/>
        <w:numPr>
          <w:ilvl w:val="0"/>
          <w:numId w:val="1"/>
        </w:numPr>
        <w:tabs>
          <w:tab w:pos="557" w:val="left" w:leader="none"/>
          <w:tab w:pos="559" w:val="left" w:leader="none"/>
        </w:tabs>
        <w:spacing w:line="259" w:lineRule="auto" w:before="3" w:after="0"/>
        <w:ind w:left="558" w:right="470" w:hanging="358"/>
        <w:jc w:val="left"/>
        <w:rPr>
          <w:rFonts w:ascii="Symbol" w:hAnsi="Symbol"/>
          <w:i/>
          <w:sz w:val="22"/>
        </w:rPr>
      </w:pPr>
      <w:r>
        <w:rPr>
          <w:sz w:val="22"/>
        </w:rPr>
        <w:t>Romanello et al. 2022. </w:t>
      </w:r>
      <w:r>
        <w:rPr>
          <w:i/>
          <w:sz w:val="22"/>
        </w:rPr>
        <w:t>The 2022 Report of the </w:t>
      </w:r>
      <w:r>
        <w:rPr>
          <w:sz w:val="22"/>
        </w:rPr>
        <w:t>Lancet </w:t>
      </w:r>
      <w:r>
        <w:rPr>
          <w:i/>
          <w:sz w:val="22"/>
        </w:rPr>
        <w:t>Countdown on Health and Climate Change: </w:t>
      </w:r>
      <w:r>
        <w:rPr>
          <w:i/>
          <w:sz w:val="22"/>
        </w:rPr>
        <w:t>Health at the Mercy of Fossil</w:t>
      </w:r>
      <w:r>
        <w:rPr>
          <w:i/>
          <w:spacing w:val="-5"/>
          <w:sz w:val="22"/>
        </w:rPr>
        <w:t> </w:t>
      </w:r>
      <w:r>
        <w:rPr>
          <w:i/>
          <w:sz w:val="22"/>
        </w:rPr>
        <w:t>Fuels.</w:t>
      </w:r>
    </w:p>
    <w:p>
      <w:pPr>
        <w:pStyle w:val="BodyText"/>
        <w:spacing w:line="259" w:lineRule="auto"/>
        <w:ind w:left="920" w:right="1892"/>
      </w:pPr>
      <w:r>
        <w:rPr/>
        <w:t>Section 4: Economics and Finance: </w:t>
      </w:r>
      <w:hyperlink r:id="rId39">
        <w:r>
          <w:rPr>
            <w:color w:val="0462C1"/>
            <w:u w:val="single" w:color="0462C1"/>
          </w:rPr>
          <w:t>https://www.thelancet.com/journals/lancet/article/PIIS0140-6736(22)01540-</w:t>
        </w:r>
      </w:hyperlink>
      <w:r>
        <w:rPr>
          <w:color w:val="0462C1"/>
        </w:rPr>
        <w:t> </w:t>
      </w:r>
      <w:hyperlink r:id="rId39">
        <w:r>
          <w:rPr>
            <w:color w:val="0462C1"/>
            <w:u w:val="single" w:color="0462C1"/>
          </w:rPr>
          <w:t>9/fulltext#seccestitle480</w:t>
        </w:r>
      </w:hyperlink>
    </w:p>
    <w:p>
      <w:pPr>
        <w:pStyle w:val="BodyText"/>
        <w:spacing w:line="267" w:lineRule="exact"/>
        <w:ind w:left="200"/>
      </w:pPr>
      <w:r>
        <w:rPr/>
        <w:t>See also:</w:t>
      </w:r>
    </w:p>
    <w:p>
      <w:pPr>
        <w:pStyle w:val="ListParagraph"/>
        <w:numPr>
          <w:ilvl w:val="0"/>
          <w:numId w:val="1"/>
        </w:numPr>
        <w:tabs>
          <w:tab w:pos="560" w:val="left" w:leader="none"/>
          <w:tab w:pos="561" w:val="left" w:leader="none"/>
        </w:tabs>
        <w:spacing w:line="259" w:lineRule="auto" w:before="1" w:after="0"/>
        <w:ind w:left="560" w:right="683" w:hanging="360"/>
        <w:jc w:val="left"/>
        <w:rPr>
          <w:rFonts w:ascii="Symbol" w:hAnsi="Symbol"/>
          <w:sz w:val="22"/>
        </w:rPr>
      </w:pPr>
      <w:r>
        <w:rPr>
          <w:sz w:val="22"/>
        </w:rPr>
        <w:t>John Sterman. 2011. Communicating climate change risks in a skeptical world. </w:t>
      </w:r>
      <w:r>
        <w:rPr>
          <w:i/>
          <w:sz w:val="22"/>
        </w:rPr>
        <w:t>Climatic Change</w:t>
      </w:r>
      <w:r>
        <w:rPr>
          <w:sz w:val="22"/>
        </w:rPr>
        <w:t>, </w:t>
      </w:r>
      <w:r>
        <w:rPr>
          <w:i/>
          <w:sz w:val="22"/>
        </w:rPr>
        <w:t>108</w:t>
      </w:r>
      <w:r>
        <w:rPr>
          <w:sz w:val="22"/>
        </w:rPr>
        <w:t>(4), 811–826.</w:t>
      </w:r>
      <w:r>
        <w:rPr>
          <w:spacing w:val="-2"/>
          <w:sz w:val="22"/>
        </w:rPr>
        <w:t> </w:t>
      </w:r>
      <w:r>
        <w:rPr>
          <w:sz w:val="22"/>
        </w:rPr>
        <w:t>https://doi.org/10.1007/s10584-011-0189-3</w:t>
      </w:r>
    </w:p>
    <w:p>
      <w:pPr>
        <w:pStyle w:val="ListParagraph"/>
        <w:numPr>
          <w:ilvl w:val="0"/>
          <w:numId w:val="1"/>
        </w:numPr>
        <w:tabs>
          <w:tab w:pos="560" w:val="left" w:leader="none"/>
          <w:tab w:pos="561" w:val="left" w:leader="none"/>
        </w:tabs>
        <w:spacing w:line="259" w:lineRule="auto" w:before="0" w:after="0"/>
        <w:ind w:left="560" w:right="1966" w:hanging="360"/>
        <w:jc w:val="left"/>
        <w:rPr>
          <w:rFonts w:ascii="Symbol" w:hAnsi="Symbol"/>
          <w:sz w:val="22"/>
        </w:rPr>
      </w:pPr>
      <w:r>
        <w:rPr>
          <w:sz w:val="22"/>
        </w:rPr>
        <w:t>Spencer Weart. 2021. </w:t>
      </w:r>
      <w:r>
        <w:rPr>
          <w:i/>
          <w:sz w:val="22"/>
        </w:rPr>
        <w:t>The Discovery of Global Warming</w:t>
      </w:r>
      <w:r>
        <w:rPr>
          <w:sz w:val="22"/>
        </w:rPr>
        <w:t>.</w:t>
      </w:r>
      <w:hyperlink r:id="rId40">
        <w:r>
          <w:rPr>
            <w:color w:val="0462C1"/>
            <w:sz w:val="22"/>
            <w:u w:val="single" w:color="0462C1"/>
          </w:rPr>
          <w:t> https://history.aip.org/climate/summary.htm</w:t>
        </w:r>
      </w:hyperlink>
      <w:r>
        <w:rPr>
          <w:sz w:val="22"/>
        </w:rPr>
        <w:t>, Read “Introduction and</w:t>
      </w:r>
      <w:r>
        <w:rPr>
          <w:spacing w:val="-22"/>
          <w:sz w:val="22"/>
        </w:rPr>
        <w:t> </w:t>
      </w:r>
      <w:r>
        <w:rPr>
          <w:sz w:val="22"/>
        </w:rPr>
        <w:t>Summary.</w:t>
      </w:r>
    </w:p>
    <w:p>
      <w:pPr>
        <w:pStyle w:val="BodyText"/>
        <w:ind w:left="0"/>
        <w:rPr>
          <w:sz w:val="15"/>
        </w:rPr>
      </w:pPr>
    </w:p>
    <w:p>
      <w:pPr>
        <w:pStyle w:val="Heading3"/>
        <w:spacing w:line="267" w:lineRule="exact" w:before="56"/>
      </w:pPr>
      <w:r>
        <w:rPr/>
        <w:t>March 21: Activism</w:t>
      </w:r>
    </w:p>
    <w:p>
      <w:pPr>
        <w:spacing w:line="267" w:lineRule="exact" w:before="0"/>
        <w:ind w:left="200" w:right="0" w:firstLine="0"/>
        <w:jc w:val="left"/>
        <w:rPr>
          <w:i/>
          <w:sz w:val="22"/>
        </w:rPr>
      </w:pPr>
      <w:r>
        <w:rPr>
          <w:i/>
          <w:sz w:val="22"/>
        </w:rPr>
        <w:t>Readings:</w:t>
      </w:r>
    </w:p>
    <w:p>
      <w:pPr>
        <w:pStyle w:val="ListParagraph"/>
        <w:numPr>
          <w:ilvl w:val="0"/>
          <w:numId w:val="1"/>
        </w:numPr>
        <w:tabs>
          <w:tab w:pos="560" w:val="left" w:leader="none"/>
          <w:tab w:pos="561" w:val="left" w:leader="none"/>
        </w:tabs>
        <w:spacing w:line="240" w:lineRule="auto" w:before="1" w:after="0"/>
        <w:ind w:left="560" w:right="0" w:hanging="361"/>
        <w:jc w:val="left"/>
        <w:rPr>
          <w:rFonts w:ascii="Symbol" w:hAnsi="Symbol"/>
          <w:sz w:val="22"/>
        </w:rPr>
      </w:pPr>
      <w:r>
        <w:rPr>
          <w:sz w:val="22"/>
        </w:rPr>
        <w:t>Karen Martinez, Juliet Schor, Wokje Abrahamse, Alison Hope Alkon, Jonn Axsen, Keith</w:t>
      </w:r>
      <w:r>
        <w:rPr>
          <w:spacing w:val="-15"/>
          <w:sz w:val="22"/>
        </w:rPr>
        <w:t> </w:t>
      </w:r>
      <w:r>
        <w:rPr>
          <w:sz w:val="22"/>
        </w:rPr>
        <w:t>Brown,</w:t>
      </w:r>
    </w:p>
    <w:p>
      <w:pPr>
        <w:pStyle w:val="BodyText"/>
        <w:spacing w:line="259" w:lineRule="auto" w:before="22"/>
        <w:ind w:right="308"/>
      </w:pPr>
      <w:r>
        <w:rPr/>
        <w:t>Rachael Shwom, Dale Southerton, and Harold Wilhite. 2015. “Consumption and Climate Change.” Pp. 93-126 in </w:t>
      </w:r>
      <w:r>
        <w:rPr>
          <w:i/>
        </w:rPr>
        <w:t>Climate Change and Society: Sociological Perspectives</w:t>
      </w:r>
      <w:r>
        <w:rPr/>
        <w:t>, edited by R. Brulle and R. Dunlap. Oxford Scholarship Online DOI: 10.1093/acprof:oso/9780199356102.003.0004.</w:t>
      </w:r>
    </w:p>
    <w:p>
      <w:pPr>
        <w:pStyle w:val="ListParagraph"/>
        <w:numPr>
          <w:ilvl w:val="0"/>
          <w:numId w:val="1"/>
        </w:numPr>
        <w:tabs>
          <w:tab w:pos="560" w:val="left" w:leader="none"/>
          <w:tab w:pos="561" w:val="left" w:leader="none"/>
        </w:tabs>
        <w:spacing w:line="256" w:lineRule="auto" w:before="0" w:after="0"/>
        <w:ind w:left="560" w:right="205" w:hanging="360"/>
        <w:jc w:val="left"/>
        <w:rPr>
          <w:rFonts w:ascii="Symbol" w:hAnsi="Symbol"/>
          <w:sz w:val="24"/>
        </w:rPr>
      </w:pPr>
      <w:r>
        <w:rPr>
          <w:sz w:val="22"/>
        </w:rPr>
        <w:t>Beth Caniglia, Robert Brulle, and Andrew Szasz. 2015. “Civil Society, Social Movements, and Climate Change.” Pp. 93-126 in </w:t>
      </w:r>
      <w:r>
        <w:rPr>
          <w:i/>
          <w:sz w:val="22"/>
        </w:rPr>
        <w:t>Climate Change and Society: Sociological Perspectives</w:t>
      </w:r>
      <w:r>
        <w:rPr>
          <w:sz w:val="22"/>
        </w:rPr>
        <w:t>, edited by R. Brulle and R. Dunlap. Oxford Scholarship Online DOI:</w:t>
      </w:r>
      <w:r>
        <w:rPr>
          <w:spacing w:val="-17"/>
          <w:sz w:val="22"/>
        </w:rPr>
        <w:t> </w:t>
      </w:r>
      <w:r>
        <w:rPr>
          <w:sz w:val="22"/>
        </w:rPr>
        <w:t>10.1093/acprof:oso/9780199356102.003.0008.</w:t>
      </w:r>
    </w:p>
    <w:p>
      <w:pPr>
        <w:pStyle w:val="BodyText"/>
        <w:spacing w:before="1"/>
        <w:ind w:left="0"/>
        <w:rPr>
          <w:sz w:val="20"/>
        </w:rPr>
      </w:pPr>
    </w:p>
    <w:p>
      <w:pPr>
        <w:pStyle w:val="Heading3"/>
        <w:spacing w:before="0"/>
      </w:pPr>
      <w:r>
        <w:rPr/>
        <w:t>March 28: Climate Change Denial</w:t>
      </w:r>
    </w:p>
    <w:p>
      <w:pPr>
        <w:spacing w:before="1"/>
        <w:ind w:left="200" w:right="0" w:firstLine="0"/>
        <w:jc w:val="left"/>
        <w:rPr>
          <w:i/>
          <w:sz w:val="22"/>
        </w:rPr>
      </w:pPr>
      <w:r>
        <w:rPr>
          <w:i/>
          <w:sz w:val="22"/>
        </w:rPr>
        <w:t>Readings:</w:t>
      </w:r>
    </w:p>
    <w:p>
      <w:pPr>
        <w:pStyle w:val="ListParagraph"/>
        <w:numPr>
          <w:ilvl w:val="0"/>
          <w:numId w:val="1"/>
        </w:numPr>
        <w:tabs>
          <w:tab w:pos="560" w:val="left" w:leader="none"/>
          <w:tab w:pos="561" w:val="left" w:leader="none"/>
        </w:tabs>
        <w:spacing w:line="259" w:lineRule="auto" w:before="0" w:after="0"/>
        <w:ind w:left="560" w:right="297" w:hanging="360"/>
        <w:jc w:val="left"/>
        <w:rPr>
          <w:rFonts w:ascii="Symbol" w:hAnsi="Symbol"/>
          <w:sz w:val="22"/>
        </w:rPr>
      </w:pPr>
      <w:r>
        <w:rPr>
          <w:sz w:val="22"/>
        </w:rPr>
        <w:t>Kari Norgaard. 2015. “Normalizing the Unthinkable: Climate Denial and Everyday Life.” In K. Gould and T. Lewis (eds.), </w:t>
      </w:r>
      <w:r>
        <w:rPr>
          <w:i/>
          <w:sz w:val="22"/>
        </w:rPr>
        <w:t>Twenty Lessons in Environmental Sociology. </w:t>
      </w:r>
      <w:r>
        <w:rPr>
          <w:sz w:val="22"/>
        </w:rPr>
        <w:t>New York: Oxford University Press, available through Avenue to</w:t>
      </w:r>
      <w:r>
        <w:rPr>
          <w:spacing w:val="-2"/>
          <w:sz w:val="22"/>
        </w:rPr>
        <w:t> </w:t>
      </w:r>
      <w:r>
        <w:rPr>
          <w:sz w:val="22"/>
        </w:rPr>
        <w:t>Learn.</w:t>
      </w:r>
    </w:p>
    <w:p>
      <w:pPr>
        <w:pStyle w:val="ListParagraph"/>
        <w:numPr>
          <w:ilvl w:val="0"/>
          <w:numId w:val="1"/>
        </w:numPr>
        <w:tabs>
          <w:tab w:pos="560" w:val="left" w:leader="none"/>
          <w:tab w:pos="561" w:val="left" w:leader="none"/>
        </w:tabs>
        <w:spacing w:line="256" w:lineRule="auto" w:before="0" w:after="0"/>
        <w:ind w:left="560" w:right="295" w:hanging="360"/>
        <w:jc w:val="left"/>
        <w:rPr>
          <w:rFonts w:ascii="Symbol" w:hAnsi="Symbol"/>
          <w:sz w:val="22"/>
        </w:rPr>
      </w:pPr>
      <w:r>
        <w:rPr>
          <w:sz w:val="22"/>
        </w:rPr>
        <w:t>Riley Dunlap and Aaron McCright. 2015. “Challenging Climate Change: The Denial Countermovement.” Pp. 93-126 in </w:t>
      </w:r>
      <w:r>
        <w:rPr>
          <w:i/>
          <w:sz w:val="22"/>
        </w:rPr>
        <w:t>Climate Change and Society: Sociological Perspectives</w:t>
      </w:r>
      <w:r>
        <w:rPr>
          <w:sz w:val="22"/>
        </w:rPr>
        <w:t>, edited</w:t>
      </w:r>
      <w:r>
        <w:rPr>
          <w:spacing w:val="-34"/>
          <w:sz w:val="22"/>
        </w:rPr>
        <w:t> </w:t>
      </w:r>
      <w:r>
        <w:rPr>
          <w:sz w:val="22"/>
        </w:rPr>
        <w:t>by</w:t>
      </w:r>
    </w:p>
    <w:p>
      <w:pPr>
        <w:pStyle w:val="BodyText"/>
        <w:spacing w:line="259" w:lineRule="auto" w:before="3"/>
        <w:ind w:right="235"/>
      </w:pPr>
      <w:r>
        <w:rPr/>
        <w:t>R. Brulle and R. Dunlap. Oxford Scholarship Online DOI: 10.1093/acprof:oso/9780199356102.003.0010.</w:t>
      </w:r>
    </w:p>
    <w:p>
      <w:pPr>
        <w:spacing w:after="0" w:line="259" w:lineRule="auto"/>
        <w:sectPr>
          <w:pgSz w:w="12240" w:h="15840"/>
          <w:pgMar w:header="0" w:footer="1044" w:top="1400" w:bottom="1240" w:left="1240" w:right="1240"/>
        </w:sectPr>
      </w:pPr>
    </w:p>
    <w:p>
      <w:pPr>
        <w:pStyle w:val="Heading3"/>
      </w:pPr>
      <w:r>
        <w:rPr/>
        <w:t>April 4: Adaptation</w:t>
      </w:r>
    </w:p>
    <w:p>
      <w:pPr>
        <w:spacing w:before="1"/>
        <w:ind w:left="200" w:right="0" w:firstLine="0"/>
        <w:jc w:val="left"/>
        <w:rPr>
          <w:i/>
          <w:sz w:val="22"/>
        </w:rPr>
      </w:pPr>
      <w:r>
        <w:rPr>
          <w:i/>
          <w:sz w:val="22"/>
        </w:rPr>
        <w:t>Readings:</w:t>
      </w:r>
    </w:p>
    <w:p>
      <w:pPr>
        <w:pStyle w:val="ListParagraph"/>
        <w:numPr>
          <w:ilvl w:val="0"/>
          <w:numId w:val="1"/>
        </w:numPr>
        <w:tabs>
          <w:tab w:pos="557" w:val="left" w:leader="none"/>
          <w:tab w:pos="559" w:val="left" w:leader="none"/>
        </w:tabs>
        <w:spacing w:line="256" w:lineRule="auto" w:before="0" w:after="0"/>
        <w:ind w:left="558" w:right="470" w:hanging="358"/>
        <w:jc w:val="left"/>
        <w:rPr>
          <w:rFonts w:ascii="Symbol" w:hAnsi="Symbol"/>
          <w:i/>
          <w:sz w:val="22"/>
        </w:rPr>
      </w:pPr>
      <w:r>
        <w:rPr>
          <w:sz w:val="22"/>
        </w:rPr>
        <w:t>Romanello et al. 2022. </w:t>
      </w:r>
      <w:r>
        <w:rPr>
          <w:i/>
          <w:sz w:val="22"/>
        </w:rPr>
        <w:t>The 2022 Report of the </w:t>
      </w:r>
      <w:r>
        <w:rPr>
          <w:sz w:val="22"/>
        </w:rPr>
        <w:t>Lancet </w:t>
      </w:r>
      <w:r>
        <w:rPr>
          <w:i/>
          <w:sz w:val="22"/>
        </w:rPr>
        <w:t>Countdown on Health and Climate Change: </w:t>
      </w:r>
      <w:r>
        <w:rPr>
          <w:i/>
          <w:sz w:val="22"/>
        </w:rPr>
        <w:t>Health at the Mercy of Fossil</w:t>
      </w:r>
      <w:r>
        <w:rPr>
          <w:i/>
          <w:spacing w:val="-5"/>
          <w:sz w:val="22"/>
        </w:rPr>
        <w:t> </w:t>
      </w:r>
      <w:r>
        <w:rPr>
          <w:i/>
          <w:sz w:val="22"/>
        </w:rPr>
        <w:t>Fuels.</w:t>
      </w:r>
    </w:p>
    <w:p>
      <w:pPr>
        <w:pStyle w:val="BodyText"/>
        <w:spacing w:line="259" w:lineRule="auto" w:before="4"/>
        <w:ind w:left="920" w:right="1892"/>
      </w:pPr>
      <w:r>
        <w:rPr/>
        <w:t>Section 2: Adaptation, Planning, and Resilience for Health </w:t>
      </w:r>
      <w:hyperlink r:id="rId41">
        <w:r>
          <w:rPr>
            <w:color w:val="0462C1"/>
            <w:u w:val="single" w:color="0462C1"/>
          </w:rPr>
          <w:t>https://www.thelancet.com/journals/lancet/article/PIIS0140-6736(22)01540-</w:t>
        </w:r>
      </w:hyperlink>
      <w:r>
        <w:rPr>
          <w:color w:val="0462C1"/>
        </w:rPr>
        <w:t> </w:t>
      </w:r>
      <w:hyperlink r:id="rId41">
        <w:r>
          <w:rPr>
            <w:color w:val="0462C1"/>
            <w:u w:val="single" w:color="0462C1"/>
          </w:rPr>
          <w:t>9/fulltext#seccestitle220</w:t>
        </w:r>
      </w:hyperlink>
    </w:p>
    <w:p>
      <w:pPr>
        <w:pStyle w:val="ListParagraph"/>
        <w:numPr>
          <w:ilvl w:val="0"/>
          <w:numId w:val="1"/>
        </w:numPr>
        <w:tabs>
          <w:tab w:pos="560" w:val="left" w:leader="none"/>
          <w:tab w:pos="561" w:val="left" w:leader="none"/>
        </w:tabs>
        <w:spacing w:line="259" w:lineRule="auto" w:before="0" w:after="0"/>
        <w:ind w:left="560" w:right="359" w:hanging="360"/>
        <w:jc w:val="left"/>
        <w:rPr>
          <w:rFonts w:ascii="Symbol" w:hAnsi="Symbol"/>
          <w:sz w:val="22"/>
        </w:rPr>
      </w:pPr>
      <w:r>
        <w:rPr>
          <w:sz w:val="22"/>
        </w:rPr>
        <w:t>JoAnn Carmin, Kathleen Tierney, Eric Chu, Lori M. Hunter, J. Timmons Roberts and Linda Shi. 2015. “Adaptation to Climate Change.” Pp. 164-98 in </w:t>
      </w:r>
      <w:r>
        <w:rPr>
          <w:i/>
          <w:sz w:val="22"/>
        </w:rPr>
        <w:t>Climate Change and Society: Sociological </w:t>
      </w:r>
      <w:r>
        <w:rPr>
          <w:i/>
          <w:sz w:val="22"/>
        </w:rPr>
        <w:t>Perspectives</w:t>
      </w:r>
      <w:r>
        <w:rPr>
          <w:sz w:val="22"/>
        </w:rPr>
        <w:t>, edited by R. Brulle and R. Dunlap. Oxford Scholarship Online DOI: 10.1093/acprof:oso/9780199356102.003.0006.</w:t>
      </w:r>
    </w:p>
    <w:p>
      <w:pPr>
        <w:pStyle w:val="BodyText"/>
        <w:spacing w:before="6"/>
        <w:ind w:left="0"/>
        <w:rPr>
          <w:sz w:val="19"/>
        </w:rPr>
      </w:pPr>
    </w:p>
    <w:p>
      <w:pPr>
        <w:pStyle w:val="Heading3"/>
        <w:spacing w:before="0"/>
      </w:pPr>
      <w:r>
        <w:rPr/>
        <w:t>April 11: Mitigation</w:t>
      </w:r>
    </w:p>
    <w:p>
      <w:pPr>
        <w:spacing w:before="1"/>
        <w:ind w:left="200" w:right="0" w:firstLine="0"/>
        <w:jc w:val="left"/>
        <w:rPr>
          <w:i/>
          <w:sz w:val="22"/>
        </w:rPr>
      </w:pPr>
      <w:r>
        <w:rPr>
          <w:i/>
          <w:sz w:val="22"/>
        </w:rPr>
        <w:t>Readings:</w:t>
      </w:r>
    </w:p>
    <w:p>
      <w:pPr>
        <w:pStyle w:val="ListParagraph"/>
        <w:numPr>
          <w:ilvl w:val="0"/>
          <w:numId w:val="1"/>
        </w:numPr>
        <w:tabs>
          <w:tab w:pos="557" w:val="left" w:leader="none"/>
          <w:tab w:pos="559" w:val="left" w:leader="none"/>
        </w:tabs>
        <w:spacing w:line="259" w:lineRule="auto" w:before="0" w:after="0"/>
        <w:ind w:left="558" w:right="470" w:hanging="358"/>
        <w:jc w:val="left"/>
        <w:rPr>
          <w:rFonts w:ascii="Symbol" w:hAnsi="Symbol"/>
          <w:i/>
          <w:sz w:val="22"/>
        </w:rPr>
      </w:pPr>
      <w:r>
        <w:rPr>
          <w:sz w:val="22"/>
        </w:rPr>
        <w:t>Romanello et al. 2022. </w:t>
      </w:r>
      <w:r>
        <w:rPr>
          <w:i/>
          <w:sz w:val="22"/>
        </w:rPr>
        <w:t>The 2022 Report of the </w:t>
      </w:r>
      <w:r>
        <w:rPr>
          <w:sz w:val="22"/>
        </w:rPr>
        <w:t>Lancet </w:t>
      </w:r>
      <w:r>
        <w:rPr>
          <w:i/>
          <w:sz w:val="22"/>
        </w:rPr>
        <w:t>Countdown on Health and Climate Change: </w:t>
      </w:r>
      <w:r>
        <w:rPr>
          <w:i/>
          <w:sz w:val="22"/>
        </w:rPr>
        <w:t>Health at the Mercy of Fossil</w:t>
      </w:r>
      <w:r>
        <w:rPr>
          <w:i/>
          <w:spacing w:val="-5"/>
          <w:sz w:val="22"/>
        </w:rPr>
        <w:t> </w:t>
      </w:r>
      <w:r>
        <w:rPr>
          <w:i/>
          <w:sz w:val="22"/>
        </w:rPr>
        <w:t>Fuels.</w:t>
      </w:r>
    </w:p>
    <w:p>
      <w:pPr>
        <w:pStyle w:val="BodyText"/>
        <w:spacing w:line="259" w:lineRule="auto" w:before="1"/>
        <w:ind w:left="920" w:right="1892"/>
      </w:pPr>
      <w:r>
        <w:rPr/>
        <w:t>Section 3: Mitigation Actions and Health Co-benefits https://</w:t>
      </w:r>
      <w:hyperlink r:id="rId42">
        <w:r>
          <w:rPr/>
          <w:t>www.thelancet.com/journals/lancet/article/PIIS0140-6736(22)01540-</w:t>
        </w:r>
      </w:hyperlink>
      <w:r>
        <w:rPr/>
        <w:t> 9/fulltext#seccestitle380</w:t>
      </w:r>
    </w:p>
    <w:p>
      <w:pPr>
        <w:pStyle w:val="ListParagraph"/>
        <w:numPr>
          <w:ilvl w:val="0"/>
          <w:numId w:val="1"/>
        </w:numPr>
        <w:tabs>
          <w:tab w:pos="560" w:val="left" w:leader="none"/>
          <w:tab w:pos="561" w:val="left" w:leader="none"/>
        </w:tabs>
        <w:spacing w:line="259" w:lineRule="auto" w:before="0" w:after="0"/>
        <w:ind w:left="560" w:right="256" w:hanging="360"/>
        <w:jc w:val="left"/>
        <w:rPr>
          <w:rFonts w:ascii="Symbol" w:hAnsi="Symbol"/>
          <w:sz w:val="22"/>
        </w:rPr>
      </w:pPr>
      <w:r>
        <w:rPr>
          <w:sz w:val="22"/>
        </w:rPr>
        <w:t>Karen Ehrhardt-Martinez, Thomas Rudel, Kari Norgaard, and Jeffrey Broadbent. 2015. “Mitigating Climate Change.” Pp. 199-233 in </w:t>
      </w:r>
      <w:r>
        <w:rPr>
          <w:i/>
          <w:sz w:val="22"/>
        </w:rPr>
        <w:t>Climate Change and Society: Sociological Perspectives</w:t>
      </w:r>
      <w:r>
        <w:rPr>
          <w:sz w:val="22"/>
        </w:rPr>
        <w:t>, edited by R. Brulle and R. Dunlap. Oxford Scholarship Online DOI:</w:t>
      </w:r>
      <w:r>
        <w:rPr>
          <w:spacing w:val="-35"/>
          <w:sz w:val="22"/>
        </w:rPr>
        <w:t> </w:t>
      </w:r>
      <w:r>
        <w:rPr>
          <w:sz w:val="22"/>
        </w:rPr>
        <w:t>0.1093/acprof:oso/9780199356102.003.0007.</w:t>
      </w:r>
    </w:p>
    <w:p>
      <w:pPr>
        <w:pStyle w:val="BodyText"/>
        <w:ind w:left="0"/>
      </w:pPr>
    </w:p>
    <w:p>
      <w:pPr>
        <w:pStyle w:val="BodyText"/>
        <w:ind w:left="0"/>
      </w:pPr>
    </w:p>
    <w:p>
      <w:pPr>
        <w:pStyle w:val="BodyText"/>
        <w:spacing w:before="7"/>
        <w:ind w:left="0"/>
        <w:rPr>
          <w:sz w:val="31"/>
        </w:rPr>
      </w:pPr>
    </w:p>
    <w:p>
      <w:pPr>
        <w:spacing w:line="341" w:lineRule="exact" w:before="0"/>
        <w:ind w:left="200" w:right="0" w:firstLine="0"/>
        <w:jc w:val="left"/>
        <w:rPr>
          <w:b/>
          <w:i/>
          <w:sz w:val="28"/>
        </w:rPr>
      </w:pPr>
      <w:r>
        <w:rPr>
          <w:b/>
          <w:i/>
          <w:sz w:val="28"/>
        </w:rPr>
        <w:t>For further reading – optional (not included on exams)</w:t>
      </w:r>
    </w:p>
    <w:p>
      <w:pPr>
        <w:pStyle w:val="BodyText"/>
        <w:spacing w:line="268" w:lineRule="exact"/>
        <w:ind w:left="200"/>
      </w:pPr>
      <w:r>
        <w:rPr>
          <w:w w:val="100"/>
        </w:rPr>
        <w:t>.</w:t>
      </w:r>
    </w:p>
    <w:p>
      <w:pPr>
        <w:pStyle w:val="Heading2"/>
        <w:spacing w:before="1"/>
        <w:rPr>
          <w:i/>
        </w:rPr>
      </w:pPr>
      <w:r>
        <w:rPr>
          <w:i/>
        </w:rPr>
        <w:t>Extreme weather</w:t>
      </w:r>
    </w:p>
    <w:p>
      <w:pPr>
        <w:spacing w:line="268" w:lineRule="exact" w:before="0"/>
        <w:ind w:left="200" w:right="0" w:firstLine="0"/>
        <w:jc w:val="left"/>
        <w:rPr>
          <w:i/>
          <w:sz w:val="22"/>
        </w:rPr>
      </w:pPr>
      <w:r>
        <w:rPr>
          <w:i/>
          <w:sz w:val="22"/>
        </w:rPr>
        <w:t>Readings:</w:t>
      </w:r>
    </w:p>
    <w:p>
      <w:pPr>
        <w:pStyle w:val="ListParagraph"/>
        <w:numPr>
          <w:ilvl w:val="0"/>
          <w:numId w:val="1"/>
        </w:numPr>
        <w:tabs>
          <w:tab w:pos="560" w:val="left" w:leader="none"/>
          <w:tab w:pos="561" w:val="left" w:leader="none"/>
        </w:tabs>
        <w:spacing w:line="259" w:lineRule="auto" w:before="0" w:after="0"/>
        <w:ind w:left="560" w:right="1270" w:hanging="360"/>
        <w:jc w:val="left"/>
        <w:rPr>
          <w:rFonts w:ascii="Symbol" w:hAnsi="Symbol"/>
          <w:sz w:val="22"/>
        </w:rPr>
      </w:pPr>
      <w:r>
        <w:rPr>
          <w:sz w:val="22"/>
        </w:rPr>
        <w:t>Canada.ca. 2019. </w:t>
      </w:r>
      <w:r>
        <w:rPr>
          <w:i/>
          <w:sz w:val="22"/>
        </w:rPr>
        <w:t>Canada’s Changing Climate Report</w:t>
      </w:r>
      <w:r>
        <w:rPr>
          <w:sz w:val="22"/>
        </w:rPr>
        <w:t>:</w:t>
      </w:r>
      <w:r>
        <w:rPr>
          <w:color w:val="0462C1"/>
          <w:sz w:val="22"/>
        </w:rPr>
        <w:t> </w:t>
      </w:r>
      <w:hyperlink r:id="rId43">
        <w:r>
          <w:rPr>
            <w:color w:val="0462C1"/>
            <w:sz w:val="22"/>
            <w:u w:val="single" w:color="0462C1"/>
          </w:rPr>
          <w:t>https://www.nrcan.gc.ca/climate-</w:t>
        </w:r>
      </w:hyperlink>
      <w:hyperlink r:id="rId43">
        <w:r>
          <w:rPr>
            <w:color w:val="0462C1"/>
            <w:sz w:val="22"/>
            <w:u w:val="single" w:color="0462C1"/>
          </w:rPr>
          <w:t> change/impacts-adaptations/canadas-changing-climate-report/21177</w:t>
        </w:r>
      </w:hyperlink>
      <w:r>
        <w:rPr>
          <w:sz w:val="22"/>
        </w:rPr>
        <w:t>.</w:t>
      </w:r>
    </w:p>
    <w:p>
      <w:pPr>
        <w:pStyle w:val="ListParagraph"/>
        <w:numPr>
          <w:ilvl w:val="0"/>
          <w:numId w:val="5"/>
        </w:numPr>
        <w:tabs>
          <w:tab w:pos="920" w:val="left" w:leader="none"/>
          <w:tab w:pos="921" w:val="left" w:leader="none"/>
        </w:tabs>
        <w:spacing w:line="240" w:lineRule="auto" w:before="1" w:after="0"/>
        <w:ind w:left="920" w:right="0" w:hanging="361"/>
        <w:jc w:val="left"/>
        <w:rPr>
          <w:sz w:val="22"/>
        </w:rPr>
      </w:pPr>
      <w:r>
        <w:rPr>
          <w:sz w:val="22"/>
        </w:rPr>
        <w:t>Executive</w:t>
      </w:r>
      <w:r>
        <w:rPr>
          <w:spacing w:val="-3"/>
          <w:sz w:val="22"/>
        </w:rPr>
        <w:t> </w:t>
      </w:r>
      <w:r>
        <w:rPr>
          <w:sz w:val="22"/>
        </w:rPr>
        <w:t>Summary</w:t>
      </w:r>
    </w:p>
    <w:p>
      <w:pPr>
        <w:pStyle w:val="ListParagraph"/>
        <w:numPr>
          <w:ilvl w:val="0"/>
          <w:numId w:val="5"/>
        </w:numPr>
        <w:tabs>
          <w:tab w:pos="920" w:val="left" w:leader="none"/>
          <w:tab w:pos="921" w:val="left" w:leader="none"/>
        </w:tabs>
        <w:spacing w:line="240" w:lineRule="auto" w:before="22" w:after="0"/>
        <w:ind w:left="920" w:right="0" w:hanging="361"/>
        <w:jc w:val="left"/>
        <w:rPr>
          <w:sz w:val="22"/>
        </w:rPr>
      </w:pPr>
      <w:r>
        <w:rPr>
          <w:sz w:val="22"/>
        </w:rPr>
        <w:t>Chapter 3</w:t>
      </w:r>
    </w:p>
    <w:p>
      <w:pPr>
        <w:pStyle w:val="ListParagraph"/>
        <w:numPr>
          <w:ilvl w:val="0"/>
          <w:numId w:val="5"/>
        </w:numPr>
        <w:tabs>
          <w:tab w:pos="920" w:val="left" w:leader="none"/>
          <w:tab w:pos="921" w:val="left" w:leader="none"/>
        </w:tabs>
        <w:spacing w:line="240" w:lineRule="auto" w:before="19" w:after="0"/>
        <w:ind w:left="920" w:right="0" w:hanging="361"/>
        <w:jc w:val="left"/>
        <w:rPr>
          <w:sz w:val="22"/>
        </w:rPr>
      </w:pPr>
      <w:r>
        <w:rPr>
          <w:sz w:val="22"/>
        </w:rPr>
        <w:t>Chapter 4</w:t>
      </w:r>
    </w:p>
    <w:p>
      <w:pPr>
        <w:pStyle w:val="ListParagraph"/>
        <w:numPr>
          <w:ilvl w:val="0"/>
          <w:numId w:val="1"/>
        </w:numPr>
        <w:tabs>
          <w:tab w:pos="560" w:val="left" w:leader="none"/>
          <w:tab w:pos="561" w:val="left" w:leader="none"/>
        </w:tabs>
        <w:spacing w:line="259" w:lineRule="auto" w:before="22" w:after="0"/>
        <w:ind w:left="560" w:right="531" w:hanging="360"/>
        <w:jc w:val="left"/>
        <w:rPr>
          <w:rFonts w:ascii="Symbol" w:hAnsi="Symbol"/>
          <w:sz w:val="22"/>
        </w:rPr>
      </w:pPr>
      <w:r>
        <w:rPr>
          <w:sz w:val="22"/>
        </w:rPr>
        <w:t>Canada.ca. 2021. </w:t>
      </w:r>
      <w:r>
        <w:rPr>
          <w:i/>
          <w:sz w:val="22"/>
        </w:rPr>
        <w:t>Canada’s top 10 weather stories of 2021</w:t>
      </w:r>
      <w:r>
        <w:rPr>
          <w:sz w:val="22"/>
        </w:rPr>
        <w:t>:</w:t>
      </w:r>
      <w:hyperlink r:id="rId44">
        <w:r>
          <w:rPr>
            <w:color w:val="0462C1"/>
            <w:sz w:val="22"/>
            <w:u w:val="single" w:color="0462C1"/>
          </w:rPr>
          <w:t> </w:t>
        </w:r>
        <w:r>
          <w:rPr>
            <w:color w:val="0462C1"/>
            <w:spacing w:val="-1"/>
            <w:sz w:val="22"/>
            <w:u w:val="single" w:color="0462C1"/>
          </w:rPr>
          <w:t>https://www.canada.ca/en/environment-climate-change/services/top-ten-weather-stories.html</w:t>
        </w:r>
      </w:hyperlink>
      <w:r>
        <w:rPr>
          <w:spacing w:val="-1"/>
          <w:sz w:val="22"/>
        </w:rPr>
        <w:t>.</w:t>
      </w:r>
    </w:p>
    <w:p>
      <w:pPr>
        <w:pStyle w:val="ListParagraph"/>
        <w:numPr>
          <w:ilvl w:val="0"/>
          <w:numId w:val="1"/>
        </w:numPr>
        <w:tabs>
          <w:tab w:pos="560" w:val="left" w:leader="none"/>
          <w:tab w:pos="561" w:val="left" w:leader="none"/>
        </w:tabs>
        <w:spacing w:line="259" w:lineRule="auto" w:before="0" w:after="0"/>
        <w:ind w:left="560" w:right="274" w:hanging="360"/>
        <w:jc w:val="left"/>
        <w:rPr>
          <w:rFonts w:ascii="Symbol" w:hAnsi="Symbol"/>
          <w:sz w:val="22"/>
        </w:rPr>
      </w:pPr>
      <w:r>
        <w:rPr>
          <w:sz w:val="22"/>
        </w:rPr>
        <w:t>Andrea Thompson. 2022. “This Hot Summer Is One of the Coolest of the Rest of Our Lives.” </w:t>
      </w:r>
      <w:r>
        <w:rPr>
          <w:i/>
          <w:spacing w:val="-1"/>
          <w:sz w:val="22"/>
        </w:rPr>
        <w:t>Scientific</w:t>
      </w:r>
      <w:r>
        <w:rPr>
          <w:i/>
          <w:spacing w:val="-27"/>
          <w:sz w:val="22"/>
        </w:rPr>
        <w:t> </w:t>
      </w:r>
      <w:r>
        <w:rPr>
          <w:i/>
          <w:sz w:val="22"/>
        </w:rPr>
        <w:t>American</w:t>
      </w:r>
      <w:r>
        <w:rPr>
          <w:i/>
          <w:spacing w:val="-26"/>
          <w:sz w:val="22"/>
        </w:rPr>
        <w:t> </w:t>
      </w:r>
      <w:r>
        <w:rPr>
          <w:sz w:val="22"/>
        </w:rPr>
        <w:t>(August</w:t>
      </w:r>
      <w:r>
        <w:rPr>
          <w:spacing w:val="-26"/>
          <w:sz w:val="22"/>
        </w:rPr>
        <w:t> </w:t>
      </w:r>
      <w:r>
        <w:rPr>
          <w:sz w:val="22"/>
        </w:rPr>
        <w:t>31)</w:t>
      </w:r>
      <w:r>
        <w:rPr>
          <w:color w:val="0462C1"/>
          <w:spacing w:val="-24"/>
          <w:sz w:val="22"/>
        </w:rPr>
        <w:t> </w:t>
      </w:r>
      <w:hyperlink r:id="rId45">
        <w:r>
          <w:rPr>
            <w:color w:val="0462C1"/>
            <w:sz w:val="22"/>
            <w:u w:val="single" w:color="0462C1"/>
          </w:rPr>
          <w:t>https://www.scientificamerican.com/article/this-hot-summer-is-one-</w:t>
        </w:r>
      </w:hyperlink>
      <w:hyperlink r:id="rId45">
        <w:r>
          <w:rPr>
            <w:color w:val="0462C1"/>
            <w:sz w:val="22"/>
            <w:u w:val="single" w:color="0462C1"/>
          </w:rPr>
          <w:t> of-the-coolest-of-the-rest-of-our-lives/?utm_source=pocket_collection_story</w:t>
        </w:r>
        <w:r>
          <w:rPr>
            <w:sz w:val="22"/>
          </w:rPr>
          <w:t>.</w:t>
        </w:r>
      </w:hyperlink>
    </w:p>
    <w:p>
      <w:pPr>
        <w:spacing w:after="0" w:line="259" w:lineRule="auto"/>
        <w:jc w:val="left"/>
        <w:rPr>
          <w:rFonts w:ascii="Symbol" w:hAnsi="Symbol"/>
          <w:sz w:val="22"/>
        </w:rPr>
        <w:sectPr>
          <w:pgSz w:w="12240" w:h="15840"/>
          <w:pgMar w:header="0" w:footer="1044" w:top="1400" w:bottom="1240" w:left="1240" w:right="1240"/>
        </w:sectPr>
      </w:pPr>
    </w:p>
    <w:p>
      <w:pPr>
        <w:spacing w:before="39"/>
        <w:ind w:left="200" w:right="0" w:firstLine="0"/>
        <w:jc w:val="left"/>
        <w:rPr>
          <w:b/>
          <w:sz w:val="22"/>
        </w:rPr>
      </w:pPr>
      <w:r>
        <w:rPr>
          <w:b/>
          <w:sz w:val="22"/>
          <w:u w:val="single"/>
        </w:rPr>
        <w:t>Course Policies</w:t>
      </w:r>
    </w:p>
    <w:p>
      <w:pPr>
        <w:spacing w:before="140"/>
        <w:ind w:left="200" w:right="0" w:firstLine="0"/>
        <w:jc w:val="left"/>
        <w:rPr>
          <w:sz w:val="22"/>
        </w:rPr>
      </w:pPr>
      <w:r>
        <w:rPr>
          <w:b/>
          <w:sz w:val="22"/>
        </w:rPr>
        <w:t>Submission of Assignments: </w:t>
      </w:r>
      <w:r>
        <w:rPr>
          <w:sz w:val="22"/>
        </w:rPr>
        <w:t>Assignments must be uploaded to the A2L site.</w:t>
      </w:r>
    </w:p>
    <w:p>
      <w:pPr>
        <w:pStyle w:val="BodyText"/>
        <w:spacing w:before="8"/>
        <w:ind w:left="0"/>
        <w:rPr>
          <w:sz w:val="21"/>
        </w:rPr>
      </w:pPr>
    </w:p>
    <w:p>
      <w:pPr>
        <w:spacing w:before="0"/>
        <w:ind w:left="200" w:right="0" w:firstLine="0"/>
        <w:jc w:val="left"/>
        <w:rPr>
          <w:sz w:val="22"/>
        </w:rPr>
      </w:pPr>
      <w:r>
        <w:rPr>
          <w:b/>
          <w:sz w:val="22"/>
        </w:rPr>
        <w:t>Late Assignments: </w:t>
      </w:r>
      <w:r>
        <w:rPr>
          <w:sz w:val="22"/>
        </w:rPr>
        <w:t>Late assignments will be subject to a 1% deduction per day.</w:t>
      </w:r>
    </w:p>
    <w:p>
      <w:pPr>
        <w:pStyle w:val="BodyText"/>
        <w:spacing w:line="259" w:lineRule="auto" w:before="139"/>
        <w:ind w:left="200" w:right="370"/>
      </w:pPr>
      <w:r>
        <w:rPr>
          <w:b/>
        </w:rPr>
        <w:t>Absences, Missed Work, Illness: </w:t>
      </w:r>
      <w:r>
        <w:rPr/>
        <w:t>In the event of an absence for medical or other reasons, students should review and follow the Academic Regulation in the Undergraduate Calendar “Requests for Relief for Missed Academic Term Work”.</w:t>
      </w:r>
    </w:p>
    <w:p>
      <w:pPr>
        <w:pStyle w:val="BodyText"/>
        <w:spacing w:line="259" w:lineRule="auto" w:before="121"/>
        <w:ind w:left="200" w:right="308"/>
      </w:pPr>
      <w:r>
        <w:rPr>
          <w:b/>
        </w:rPr>
        <w:t>Avenue to Learn: </w:t>
      </w:r>
      <w:r>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w:t>
      </w:r>
    </w:p>
    <w:p>
      <w:pPr>
        <w:pStyle w:val="BodyText"/>
        <w:spacing w:line="256" w:lineRule="auto"/>
        <w:ind w:left="200" w:right="775"/>
      </w:pPr>
      <w:r>
        <w:rPr/>
        <w:t>Continuation in this course will be deemed consent to this disclosure. If you have any questions or concerns about such disclosure please discuss this with the course instructor.</w:t>
      </w:r>
    </w:p>
    <w:p>
      <w:pPr>
        <w:pStyle w:val="BodyText"/>
        <w:spacing w:before="9"/>
        <w:ind w:left="0"/>
        <w:rPr>
          <w:sz w:val="29"/>
        </w:rPr>
      </w:pPr>
    </w:p>
    <w:p>
      <w:pPr>
        <w:spacing w:before="1"/>
        <w:ind w:left="200" w:right="0" w:firstLine="0"/>
        <w:jc w:val="left"/>
        <w:rPr>
          <w:b/>
          <w:sz w:val="22"/>
        </w:rPr>
      </w:pPr>
      <w:r>
        <w:rPr>
          <w:b/>
          <w:sz w:val="22"/>
          <w:u w:val="single"/>
        </w:rPr>
        <w:t>University Policies</w:t>
      </w:r>
    </w:p>
    <w:p>
      <w:pPr>
        <w:pStyle w:val="BodyText"/>
        <w:spacing w:line="259" w:lineRule="auto" w:before="139"/>
        <w:ind w:left="200" w:right="235"/>
      </w:pPr>
      <w:r>
        <w:rPr>
          <w:b/>
        </w:rPr>
        <w:t>Academic Integrity Statement</w:t>
      </w:r>
      <w:r>
        <w:rPr/>
        <w:t>: 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w:t>
      </w:r>
    </w:p>
    <w:p>
      <w:pPr>
        <w:pStyle w:val="BodyText"/>
        <w:spacing w:line="259" w:lineRule="auto" w:before="2"/>
        <w:ind w:left="200" w:right="317"/>
      </w:pPr>
      <w:r>
        <w:rPr/>
        <w:t>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w:t>
      </w:r>
      <w:r>
        <w:rPr>
          <w:color w:val="0462C1"/>
        </w:rPr>
        <w:t> </w:t>
      </w:r>
      <w:hyperlink r:id="rId46">
        <w:r>
          <w:rPr>
            <w:color w:val="0462C1"/>
            <w:u w:val="single" w:color="0462C1"/>
          </w:rPr>
          <w:t>Academic Integrity Policy</w:t>
        </w:r>
        <w:r>
          <w:rPr/>
          <w:t>.</w:t>
        </w:r>
      </w:hyperlink>
      <w:r>
        <w:rPr/>
        <w:t> The following illustrates only three forms of academic dishonesty:</w:t>
      </w:r>
    </w:p>
    <w:p>
      <w:pPr>
        <w:pStyle w:val="ListParagraph"/>
        <w:numPr>
          <w:ilvl w:val="0"/>
          <w:numId w:val="1"/>
        </w:numPr>
        <w:tabs>
          <w:tab w:pos="560" w:val="left" w:leader="none"/>
          <w:tab w:pos="561" w:val="left" w:leader="none"/>
        </w:tabs>
        <w:spacing w:line="240" w:lineRule="auto" w:before="0" w:after="0"/>
        <w:ind w:left="560" w:right="0" w:hanging="361"/>
        <w:jc w:val="left"/>
        <w:rPr>
          <w:rFonts w:ascii="Symbol" w:hAnsi="Symbol"/>
          <w:sz w:val="22"/>
        </w:rPr>
      </w:pPr>
      <w:r>
        <w:rPr>
          <w:sz w:val="22"/>
        </w:rPr>
        <w:t>Plagiarism, e.g. the submission of work that is not one’s own or for which other credit has</w:t>
      </w:r>
      <w:r>
        <w:rPr>
          <w:spacing w:val="-29"/>
          <w:sz w:val="22"/>
        </w:rPr>
        <w:t> </w:t>
      </w:r>
      <w:r>
        <w:rPr>
          <w:sz w:val="22"/>
        </w:rPr>
        <w:t>been</w:t>
      </w:r>
    </w:p>
    <w:p>
      <w:pPr>
        <w:pStyle w:val="BodyText"/>
        <w:spacing w:before="19"/>
      </w:pPr>
      <w:r>
        <w:rPr/>
        <w:t>obtained.</w:t>
      </w:r>
    </w:p>
    <w:p>
      <w:pPr>
        <w:pStyle w:val="ListParagraph"/>
        <w:numPr>
          <w:ilvl w:val="0"/>
          <w:numId w:val="1"/>
        </w:numPr>
        <w:tabs>
          <w:tab w:pos="560" w:val="left" w:leader="none"/>
          <w:tab w:pos="561" w:val="left" w:leader="none"/>
        </w:tabs>
        <w:spacing w:line="240" w:lineRule="auto" w:before="22" w:after="0"/>
        <w:ind w:left="560" w:right="0" w:hanging="361"/>
        <w:jc w:val="left"/>
        <w:rPr>
          <w:rFonts w:ascii="Symbol" w:hAnsi="Symbol"/>
          <w:sz w:val="22"/>
        </w:rPr>
      </w:pPr>
      <w:r>
        <w:rPr>
          <w:sz w:val="22"/>
        </w:rPr>
        <w:t>Improper collaboration in group</w:t>
      </w:r>
      <w:r>
        <w:rPr>
          <w:spacing w:val="-4"/>
          <w:sz w:val="22"/>
        </w:rPr>
        <w:t> </w:t>
      </w:r>
      <w:r>
        <w:rPr>
          <w:sz w:val="22"/>
        </w:rPr>
        <w:t>work.</w:t>
      </w:r>
    </w:p>
    <w:p>
      <w:pPr>
        <w:pStyle w:val="ListParagraph"/>
        <w:numPr>
          <w:ilvl w:val="0"/>
          <w:numId w:val="1"/>
        </w:numPr>
        <w:tabs>
          <w:tab w:pos="560" w:val="left" w:leader="none"/>
          <w:tab w:pos="561" w:val="left" w:leader="none"/>
        </w:tabs>
        <w:spacing w:line="240" w:lineRule="auto" w:before="22" w:after="0"/>
        <w:ind w:left="560" w:right="0" w:hanging="361"/>
        <w:jc w:val="left"/>
        <w:rPr>
          <w:rFonts w:ascii="Symbol" w:hAnsi="Symbol"/>
          <w:sz w:val="22"/>
        </w:rPr>
      </w:pPr>
      <w:r>
        <w:rPr>
          <w:sz w:val="22"/>
        </w:rPr>
        <w:t>Copying or using unauthorized aids in tests and</w:t>
      </w:r>
      <w:r>
        <w:rPr>
          <w:spacing w:val="-7"/>
          <w:sz w:val="22"/>
        </w:rPr>
        <w:t> </w:t>
      </w:r>
      <w:r>
        <w:rPr>
          <w:sz w:val="22"/>
        </w:rPr>
        <w:t>examinations.</w:t>
      </w:r>
    </w:p>
    <w:p>
      <w:pPr>
        <w:pStyle w:val="BodyText"/>
        <w:spacing w:before="3"/>
        <w:ind w:left="0"/>
        <w:rPr>
          <w:sz w:val="21"/>
        </w:rPr>
      </w:pPr>
    </w:p>
    <w:p>
      <w:pPr>
        <w:pStyle w:val="BodyText"/>
        <w:spacing w:line="259" w:lineRule="auto"/>
        <w:ind w:left="200" w:right="272"/>
      </w:pPr>
      <w:r>
        <w:rPr>
          <w:b/>
        </w:rPr>
        <w:t>Academic Accommodation of Students with Disabilities: </w:t>
      </w:r>
      <w:r>
        <w:rPr/>
        <w:t>Students with disabilities who require academic accommodation must contact </w:t>
      </w:r>
      <w:hyperlink r:id="rId47">
        <w:r>
          <w:rPr>
            <w:color w:val="0462C1"/>
            <w:u w:val="single" w:color="0462C1"/>
          </w:rPr>
          <w:t>Student Accessibility Services</w:t>
        </w:r>
        <w:r>
          <w:rPr>
            <w:color w:val="0462C1"/>
          </w:rPr>
          <w:t> </w:t>
        </w:r>
      </w:hyperlink>
      <w:r>
        <w:rPr/>
        <w:t>(SAS) at 905-525-9140 ext. 28652 or </w:t>
      </w:r>
      <w:hyperlink r:id="rId48">
        <w:r>
          <w:rPr>
            <w:color w:val="0462C1"/>
            <w:u w:val="single" w:color="0462C1"/>
          </w:rPr>
          <w:t>sas@mcmaster.ca </w:t>
        </w:r>
      </w:hyperlink>
      <w:r>
        <w:rPr/>
        <w:t>to make arrangements with a Program Coordinator. For further information,</w:t>
      </w:r>
    </w:p>
    <w:p>
      <w:pPr>
        <w:spacing w:before="2"/>
        <w:ind w:left="200" w:right="0" w:firstLine="0"/>
        <w:jc w:val="left"/>
        <w:rPr>
          <w:sz w:val="22"/>
        </w:rPr>
      </w:pPr>
      <w:r>
        <w:rPr>
          <w:sz w:val="22"/>
        </w:rPr>
        <w:t>consult McMaster University’s </w:t>
      </w:r>
      <w:hyperlink r:id="rId49">
        <w:r>
          <w:rPr>
            <w:i/>
            <w:color w:val="0462C1"/>
            <w:sz w:val="22"/>
            <w:u w:val="single" w:color="0462C1"/>
          </w:rPr>
          <w:t>Academic Accommodation of Students with Disabilities</w:t>
        </w:r>
        <w:r>
          <w:rPr>
            <w:i/>
            <w:color w:val="0462C1"/>
            <w:sz w:val="22"/>
          </w:rPr>
          <w:t> </w:t>
        </w:r>
      </w:hyperlink>
      <w:r>
        <w:rPr>
          <w:sz w:val="22"/>
        </w:rPr>
        <w:t>policy.</w:t>
      </w:r>
    </w:p>
    <w:p>
      <w:pPr>
        <w:pStyle w:val="BodyText"/>
        <w:spacing w:line="259" w:lineRule="auto" w:before="140"/>
        <w:ind w:left="200" w:right="247"/>
      </w:pPr>
      <w:r>
        <w:rPr>
          <w:b/>
        </w:rPr>
        <w:t>Academic Accommodation for Religious, Indigenous or Spiritual Observances (RISO): </w:t>
      </w:r>
      <w:r>
        <w:rPr/>
        <w:t>Students requiring academic accommodation based on religious, indigenous or spiritual observances should follow the procedures set out in the RISO policy. Students requiring a </w:t>
      </w:r>
      <w:hyperlink r:id="rId50">
        <w:r>
          <w:rPr>
            <w:color w:val="0462C1"/>
            <w:u w:val="single" w:color="0462C1"/>
          </w:rPr>
          <w:t>RISO</w:t>
        </w:r>
        <w:r>
          <w:rPr>
            <w:color w:val="0462C1"/>
          </w:rPr>
          <w:t> </w:t>
        </w:r>
      </w:hyperlink>
      <w:r>
        <w:rPr/>
        <w:t>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pPr>
        <w:spacing w:after="0" w:line="259" w:lineRule="auto"/>
        <w:sectPr>
          <w:pgSz w:w="12240" w:h="15840"/>
          <w:pgMar w:header="0" w:footer="1044" w:top="1400" w:bottom="1240" w:left="1240" w:right="1240"/>
        </w:sectPr>
      </w:pPr>
    </w:p>
    <w:p>
      <w:pPr>
        <w:pStyle w:val="BodyText"/>
        <w:spacing w:line="259" w:lineRule="auto" w:before="39"/>
        <w:ind w:left="200" w:right="235"/>
      </w:pPr>
      <w:r>
        <w:rPr>
          <w:b/>
        </w:rPr>
        <w:t>Conduct Expectations: </w:t>
      </w:r>
      <w:r>
        <w:rPr/>
        <w:t>As a McMaster student, you have the right to experience, and the responsibility to demonstrate, respectful and dignified interactions within all of our living, learning and working communities. These expectations are described in the </w:t>
      </w:r>
      <w:hyperlink r:id="rId51">
        <w:r>
          <w:rPr>
            <w:color w:val="0462C1"/>
            <w:u w:val="single" w:color="0462C1"/>
          </w:rPr>
          <w:t>Code of Student Rights &amp; Responsibilities</w:t>
        </w:r>
        <w:r>
          <w:rPr>
            <w:color w:val="0462C1"/>
          </w:rPr>
          <w:t> </w:t>
        </w:r>
      </w:hyperlink>
      <w:r>
        <w:rPr/>
        <w:t>(the “Code”). All students share the responsibility of maintaining a positive environment for the academic and personal growth of all McMaster community members, whether in person or online.</w:t>
      </w:r>
    </w:p>
    <w:p>
      <w:pPr>
        <w:pStyle w:val="BodyText"/>
        <w:spacing w:line="259" w:lineRule="auto" w:before="120"/>
        <w:ind w:left="200" w:right="377"/>
      </w:pPr>
      <w:r>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w:t>
      </w:r>
    </w:p>
    <w:p>
      <w:pPr>
        <w:pStyle w:val="BodyText"/>
        <w:spacing w:line="268" w:lineRule="exact"/>
        <w:ind w:left="200"/>
      </w:pPr>
      <w:r>
        <w:rPr/>
        <w:t>removal of the involved students’ access to these platforms.</w:t>
      </w:r>
    </w:p>
    <w:p>
      <w:pPr>
        <w:pStyle w:val="BodyText"/>
        <w:spacing w:line="259" w:lineRule="auto" w:before="140"/>
        <w:ind w:left="200" w:right="377"/>
      </w:pPr>
      <w:r>
        <w:rPr>
          <w:b/>
        </w:rPr>
        <w:t>Copyright and Recording: </w:t>
      </w:r>
      <w:r>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pPr>
        <w:pStyle w:val="BodyText"/>
        <w:spacing w:before="11"/>
        <w:ind w:left="0"/>
        <w:rPr>
          <w:sz w:val="21"/>
        </w:rPr>
      </w:pPr>
    </w:p>
    <w:p>
      <w:pPr>
        <w:pStyle w:val="BodyText"/>
        <w:ind w:left="200" w:right="285"/>
      </w:pPr>
      <w:r>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pPr>
        <w:pStyle w:val="BodyText"/>
        <w:spacing w:before="12"/>
        <w:ind w:left="0"/>
        <w:rPr>
          <w:sz w:val="31"/>
        </w:rPr>
      </w:pPr>
    </w:p>
    <w:p>
      <w:pPr>
        <w:pStyle w:val="BodyText"/>
        <w:spacing w:line="259" w:lineRule="auto"/>
        <w:ind w:left="200" w:right="291"/>
      </w:pPr>
      <w:r>
        <w:rPr>
          <w:b/>
        </w:rPr>
        <w:t>Faculty of Social Sciences E-mail Communication Policy: </w:t>
      </w:r>
      <w:r>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pPr>
        <w:pStyle w:val="BodyText"/>
        <w:spacing w:line="259" w:lineRule="auto" w:before="118"/>
        <w:ind w:left="200" w:right="271"/>
      </w:pPr>
      <w:r>
        <w:rPr>
          <w:b/>
        </w:rPr>
        <w:t>Course Modification: </w:t>
      </w:r>
      <w:r>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pPr>
        <w:pStyle w:val="BodyText"/>
        <w:spacing w:line="259" w:lineRule="auto" w:before="120"/>
        <w:ind w:left="200" w:right="291"/>
        <w:rPr>
          <w:b/>
        </w:rPr>
      </w:pPr>
      <w:r>
        <w:rPr>
          <w:b/>
        </w:rPr>
        <w:t>Extreme Circumstances: </w:t>
      </w:r>
      <w:r>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r>
        <w:rPr>
          <w:b/>
        </w:rPr>
        <w:t>.</w:t>
      </w:r>
    </w:p>
    <w:p>
      <w:pPr>
        <w:spacing w:after="0" w:line="259" w:lineRule="auto"/>
        <w:sectPr>
          <w:pgSz w:w="12240" w:h="15840"/>
          <w:pgMar w:header="0" w:footer="1044" w:top="1400" w:bottom="1240" w:left="1240" w:right="1240"/>
        </w:sectPr>
      </w:pPr>
    </w:p>
    <w:p>
      <w:pPr>
        <w:pStyle w:val="BodyText"/>
        <w:spacing w:line="259" w:lineRule="auto" w:before="39"/>
        <w:ind w:left="200" w:right="3188"/>
      </w:pPr>
      <w:r>
        <w:rPr>
          <w:b/>
        </w:rPr>
        <w:t>Grades: </w:t>
      </w:r>
      <w:r>
        <w:rPr/>
        <w:t>Grades will be based on the McMaster University grading scale (https://registrar.mcmaster.ca/exams-grades/grades/#tab-10):</w:t>
      </w:r>
    </w:p>
    <w:p>
      <w:pPr>
        <w:pStyle w:val="BodyText"/>
        <w:spacing w:before="1" w:after="1"/>
        <w:ind w:left="0"/>
        <w:rPr>
          <w:sz w:val="24"/>
        </w:rPr>
      </w:pPr>
    </w:p>
    <w:tbl>
      <w:tblPr>
        <w:tblW w:w="0" w:type="auto"/>
        <w:jc w:val="left"/>
        <w:tblInd w:w="81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1440"/>
        <w:gridCol w:w="1441"/>
      </w:tblGrid>
      <w:tr>
        <w:trPr>
          <w:trHeight w:val="585" w:hRule="atLeast"/>
        </w:trPr>
        <w:tc>
          <w:tcPr>
            <w:tcW w:w="1440" w:type="dxa"/>
          </w:tcPr>
          <w:p>
            <w:pPr>
              <w:pStyle w:val="TableParagraph"/>
              <w:spacing w:line="292" w:lineRule="exact"/>
              <w:rPr>
                <w:b/>
                <w:sz w:val="24"/>
              </w:rPr>
            </w:pPr>
            <w:r>
              <w:rPr>
                <w:b/>
                <w:sz w:val="24"/>
              </w:rPr>
              <w:t>Equivalent</w:t>
            </w:r>
          </w:p>
          <w:p>
            <w:pPr>
              <w:pStyle w:val="TableParagraph"/>
              <w:spacing w:line="273" w:lineRule="exact"/>
              <w:rPr>
                <w:b/>
                <w:sz w:val="24"/>
              </w:rPr>
            </w:pPr>
            <w:r>
              <w:rPr>
                <w:b/>
                <w:sz w:val="24"/>
              </w:rPr>
              <w:t>Percentage</w:t>
            </w:r>
          </w:p>
        </w:tc>
        <w:tc>
          <w:tcPr>
            <w:tcW w:w="1441" w:type="dxa"/>
          </w:tcPr>
          <w:p>
            <w:pPr>
              <w:pStyle w:val="TableParagraph"/>
              <w:spacing w:line="240" w:lineRule="auto" w:before="11"/>
              <w:ind w:left="0"/>
              <w:rPr>
                <w:sz w:val="23"/>
              </w:rPr>
            </w:pPr>
          </w:p>
          <w:p>
            <w:pPr>
              <w:pStyle w:val="TableParagraph"/>
              <w:spacing w:line="273" w:lineRule="exact"/>
              <w:rPr>
                <w:b/>
                <w:sz w:val="24"/>
              </w:rPr>
            </w:pPr>
            <w:r>
              <w:rPr>
                <w:b/>
                <w:sz w:val="24"/>
              </w:rPr>
              <w:t>Grade</w:t>
            </w:r>
          </w:p>
        </w:tc>
      </w:tr>
      <w:tr>
        <w:trPr>
          <w:trHeight w:val="292" w:hRule="atLeast"/>
        </w:trPr>
        <w:tc>
          <w:tcPr>
            <w:tcW w:w="1440" w:type="dxa"/>
          </w:tcPr>
          <w:p>
            <w:pPr>
              <w:pStyle w:val="TableParagraph"/>
              <w:rPr>
                <w:sz w:val="24"/>
              </w:rPr>
            </w:pPr>
            <w:r>
              <w:rPr>
                <w:sz w:val="24"/>
              </w:rPr>
              <w:t>90-100</w:t>
            </w:r>
          </w:p>
        </w:tc>
        <w:tc>
          <w:tcPr>
            <w:tcW w:w="1441" w:type="dxa"/>
          </w:tcPr>
          <w:p>
            <w:pPr>
              <w:pStyle w:val="TableParagraph"/>
              <w:rPr>
                <w:sz w:val="24"/>
              </w:rPr>
            </w:pPr>
            <w:r>
              <w:rPr>
                <w:sz w:val="24"/>
              </w:rPr>
              <w:t>A+</w:t>
            </w:r>
          </w:p>
        </w:tc>
      </w:tr>
      <w:tr>
        <w:trPr>
          <w:trHeight w:val="292" w:hRule="atLeast"/>
        </w:trPr>
        <w:tc>
          <w:tcPr>
            <w:tcW w:w="1440" w:type="dxa"/>
          </w:tcPr>
          <w:p>
            <w:pPr>
              <w:pStyle w:val="TableParagraph"/>
              <w:rPr>
                <w:sz w:val="24"/>
              </w:rPr>
            </w:pPr>
            <w:r>
              <w:rPr>
                <w:sz w:val="24"/>
              </w:rPr>
              <w:t>85-89</w:t>
            </w:r>
          </w:p>
        </w:tc>
        <w:tc>
          <w:tcPr>
            <w:tcW w:w="1441" w:type="dxa"/>
          </w:tcPr>
          <w:p>
            <w:pPr>
              <w:pStyle w:val="TableParagraph"/>
              <w:rPr>
                <w:sz w:val="24"/>
              </w:rPr>
            </w:pPr>
            <w:r>
              <w:rPr>
                <w:sz w:val="24"/>
              </w:rPr>
              <w:t>A</w:t>
            </w:r>
          </w:p>
        </w:tc>
      </w:tr>
      <w:tr>
        <w:trPr>
          <w:trHeight w:val="294" w:hRule="atLeast"/>
        </w:trPr>
        <w:tc>
          <w:tcPr>
            <w:tcW w:w="1440" w:type="dxa"/>
          </w:tcPr>
          <w:p>
            <w:pPr>
              <w:pStyle w:val="TableParagraph"/>
              <w:spacing w:line="273" w:lineRule="exact" w:before="1"/>
              <w:rPr>
                <w:sz w:val="24"/>
              </w:rPr>
            </w:pPr>
            <w:r>
              <w:rPr>
                <w:sz w:val="24"/>
              </w:rPr>
              <w:t>80-84</w:t>
            </w:r>
          </w:p>
        </w:tc>
        <w:tc>
          <w:tcPr>
            <w:tcW w:w="1441" w:type="dxa"/>
          </w:tcPr>
          <w:p>
            <w:pPr>
              <w:pStyle w:val="TableParagraph"/>
              <w:spacing w:line="273" w:lineRule="exact" w:before="1"/>
              <w:rPr>
                <w:sz w:val="24"/>
              </w:rPr>
            </w:pPr>
            <w:r>
              <w:rPr>
                <w:sz w:val="24"/>
              </w:rPr>
              <w:t>A-</w:t>
            </w:r>
          </w:p>
        </w:tc>
      </w:tr>
      <w:tr>
        <w:trPr>
          <w:trHeight w:val="292" w:hRule="atLeast"/>
        </w:trPr>
        <w:tc>
          <w:tcPr>
            <w:tcW w:w="1440" w:type="dxa"/>
          </w:tcPr>
          <w:p>
            <w:pPr>
              <w:pStyle w:val="TableParagraph"/>
              <w:rPr>
                <w:sz w:val="24"/>
              </w:rPr>
            </w:pPr>
            <w:r>
              <w:rPr>
                <w:sz w:val="24"/>
              </w:rPr>
              <w:t>77-79</w:t>
            </w:r>
          </w:p>
        </w:tc>
        <w:tc>
          <w:tcPr>
            <w:tcW w:w="1441" w:type="dxa"/>
          </w:tcPr>
          <w:p>
            <w:pPr>
              <w:pStyle w:val="TableParagraph"/>
              <w:rPr>
                <w:sz w:val="24"/>
              </w:rPr>
            </w:pPr>
            <w:r>
              <w:rPr>
                <w:sz w:val="24"/>
              </w:rPr>
              <w:t>B+</w:t>
            </w:r>
          </w:p>
        </w:tc>
      </w:tr>
      <w:tr>
        <w:trPr>
          <w:trHeight w:val="292" w:hRule="atLeast"/>
        </w:trPr>
        <w:tc>
          <w:tcPr>
            <w:tcW w:w="1440" w:type="dxa"/>
          </w:tcPr>
          <w:p>
            <w:pPr>
              <w:pStyle w:val="TableParagraph"/>
              <w:rPr>
                <w:sz w:val="24"/>
              </w:rPr>
            </w:pPr>
            <w:r>
              <w:rPr>
                <w:sz w:val="24"/>
              </w:rPr>
              <w:t>73-76</w:t>
            </w:r>
          </w:p>
        </w:tc>
        <w:tc>
          <w:tcPr>
            <w:tcW w:w="1441" w:type="dxa"/>
          </w:tcPr>
          <w:p>
            <w:pPr>
              <w:pStyle w:val="TableParagraph"/>
              <w:rPr>
                <w:sz w:val="24"/>
              </w:rPr>
            </w:pPr>
            <w:r>
              <w:rPr>
                <w:sz w:val="24"/>
              </w:rPr>
              <w:t>B</w:t>
            </w:r>
          </w:p>
        </w:tc>
      </w:tr>
      <w:tr>
        <w:trPr>
          <w:trHeight w:val="292" w:hRule="atLeast"/>
        </w:trPr>
        <w:tc>
          <w:tcPr>
            <w:tcW w:w="1440" w:type="dxa"/>
          </w:tcPr>
          <w:p>
            <w:pPr>
              <w:pStyle w:val="TableParagraph"/>
              <w:rPr>
                <w:sz w:val="24"/>
              </w:rPr>
            </w:pPr>
            <w:r>
              <w:rPr>
                <w:sz w:val="24"/>
              </w:rPr>
              <w:t>70-72</w:t>
            </w:r>
          </w:p>
        </w:tc>
        <w:tc>
          <w:tcPr>
            <w:tcW w:w="1441" w:type="dxa"/>
          </w:tcPr>
          <w:p>
            <w:pPr>
              <w:pStyle w:val="TableParagraph"/>
              <w:rPr>
                <w:sz w:val="24"/>
              </w:rPr>
            </w:pPr>
            <w:r>
              <w:rPr>
                <w:sz w:val="24"/>
              </w:rPr>
              <w:t>B-</w:t>
            </w:r>
          </w:p>
        </w:tc>
      </w:tr>
      <w:tr>
        <w:trPr>
          <w:trHeight w:val="295" w:hRule="atLeast"/>
        </w:trPr>
        <w:tc>
          <w:tcPr>
            <w:tcW w:w="1440" w:type="dxa"/>
          </w:tcPr>
          <w:p>
            <w:pPr>
              <w:pStyle w:val="TableParagraph"/>
              <w:spacing w:line="275" w:lineRule="exact"/>
              <w:rPr>
                <w:sz w:val="24"/>
              </w:rPr>
            </w:pPr>
            <w:r>
              <w:rPr>
                <w:sz w:val="24"/>
              </w:rPr>
              <w:t>67-69</w:t>
            </w:r>
          </w:p>
        </w:tc>
        <w:tc>
          <w:tcPr>
            <w:tcW w:w="1441" w:type="dxa"/>
          </w:tcPr>
          <w:p>
            <w:pPr>
              <w:pStyle w:val="TableParagraph"/>
              <w:spacing w:line="275" w:lineRule="exact"/>
              <w:rPr>
                <w:sz w:val="24"/>
              </w:rPr>
            </w:pPr>
            <w:r>
              <w:rPr>
                <w:sz w:val="24"/>
              </w:rPr>
              <w:t>C+</w:t>
            </w:r>
          </w:p>
        </w:tc>
      </w:tr>
      <w:tr>
        <w:trPr>
          <w:trHeight w:val="292" w:hRule="atLeast"/>
        </w:trPr>
        <w:tc>
          <w:tcPr>
            <w:tcW w:w="1440" w:type="dxa"/>
          </w:tcPr>
          <w:p>
            <w:pPr>
              <w:pStyle w:val="TableParagraph"/>
              <w:rPr>
                <w:sz w:val="24"/>
              </w:rPr>
            </w:pPr>
            <w:r>
              <w:rPr>
                <w:sz w:val="24"/>
              </w:rPr>
              <w:t>63-66</w:t>
            </w:r>
          </w:p>
        </w:tc>
        <w:tc>
          <w:tcPr>
            <w:tcW w:w="1441" w:type="dxa"/>
          </w:tcPr>
          <w:p>
            <w:pPr>
              <w:pStyle w:val="TableParagraph"/>
              <w:rPr>
                <w:sz w:val="24"/>
              </w:rPr>
            </w:pPr>
            <w:r>
              <w:rPr>
                <w:sz w:val="24"/>
              </w:rPr>
              <w:t>C</w:t>
            </w:r>
          </w:p>
        </w:tc>
      </w:tr>
      <w:tr>
        <w:trPr>
          <w:trHeight w:val="292" w:hRule="atLeast"/>
        </w:trPr>
        <w:tc>
          <w:tcPr>
            <w:tcW w:w="1440" w:type="dxa"/>
          </w:tcPr>
          <w:p>
            <w:pPr>
              <w:pStyle w:val="TableParagraph"/>
              <w:rPr>
                <w:sz w:val="24"/>
              </w:rPr>
            </w:pPr>
            <w:r>
              <w:rPr>
                <w:sz w:val="24"/>
              </w:rPr>
              <w:t>60-62</w:t>
            </w:r>
          </w:p>
        </w:tc>
        <w:tc>
          <w:tcPr>
            <w:tcW w:w="1441" w:type="dxa"/>
          </w:tcPr>
          <w:p>
            <w:pPr>
              <w:pStyle w:val="TableParagraph"/>
              <w:rPr>
                <w:sz w:val="24"/>
              </w:rPr>
            </w:pPr>
            <w:r>
              <w:rPr>
                <w:sz w:val="24"/>
              </w:rPr>
              <w:t>C-</w:t>
            </w:r>
          </w:p>
        </w:tc>
      </w:tr>
      <w:tr>
        <w:trPr>
          <w:trHeight w:val="292" w:hRule="atLeast"/>
        </w:trPr>
        <w:tc>
          <w:tcPr>
            <w:tcW w:w="1440" w:type="dxa"/>
          </w:tcPr>
          <w:p>
            <w:pPr>
              <w:pStyle w:val="TableParagraph"/>
              <w:rPr>
                <w:sz w:val="24"/>
              </w:rPr>
            </w:pPr>
            <w:r>
              <w:rPr>
                <w:sz w:val="24"/>
              </w:rPr>
              <w:t>57-59</w:t>
            </w:r>
          </w:p>
        </w:tc>
        <w:tc>
          <w:tcPr>
            <w:tcW w:w="1441" w:type="dxa"/>
          </w:tcPr>
          <w:p>
            <w:pPr>
              <w:pStyle w:val="TableParagraph"/>
              <w:rPr>
                <w:sz w:val="24"/>
              </w:rPr>
            </w:pPr>
            <w:r>
              <w:rPr>
                <w:sz w:val="24"/>
              </w:rPr>
              <w:t>D+</w:t>
            </w:r>
          </w:p>
        </w:tc>
      </w:tr>
      <w:tr>
        <w:trPr>
          <w:trHeight w:val="292" w:hRule="atLeast"/>
        </w:trPr>
        <w:tc>
          <w:tcPr>
            <w:tcW w:w="1440" w:type="dxa"/>
          </w:tcPr>
          <w:p>
            <w:pPr>
              <w:pStyle w:val="TableParagraph"/>
              <w:rPr>
                <w:sz w:val="24"/>
              </w:rPr>
            </w:pPr>
            <w:r>
              <w:rPr>
                <w:sz w:val="24"/>
              </w:rPr>
              <w:t>53-56</w:t>
            </w:r>
          </w:p>
        </w:tc>
        <w:tc>
          <w:tcPr>
            <w:tcW w:w="1441" w:type="dxa"/>
          </w:tcPr>
          <w:p>
            <w:pPr>
              <w:pStyle w:val="TableParagraph"/>
              <w:rPr>
                <w:sz w:val="24"/>
              </w:rPr>
            </w:pPr>
            <w:r>
              <w:rPr>
                <w:sz w:val="24"/>
              </w:rPr>
              <w:t>D</w:t>
            </w:r>
          </w:p>
        </w:tc>
      </w:tr>
      <w:tr>
        <w:trPr>
          <w:trHeight w:val="294" w:hRule="atLeast"/>
        </w:trPr>
        <w:tc>
          <w:tcPr>
            <w:tcW w:w="1440" w:type="dxa"/>
          </w:tcPr>
          <w:p>
            <w:pPr>
              <w:pStyle w:val="TableParagraph"/>
              <w:spacing w:line="273" w:lineRule="exact" w:before="1"/>
              <w:rPr>
                <w:sz w:val="24"/>
              </w:rPr>
            </w:pPr>
            <w:r>
              <w:rPr>
                <w:sz w:val="24"/>
              </w:rPr>
              <w:t>50-52</w:t>
            </w:r>
          </w:p>
        </w:tc>
        <w:tc>
          <w:tcPr>
            <w:tcW w:w="1441" w:type="dxa"/>
          </w:tcPr>
          <w:p>
            <w:pPr>
              <w:pStyle w:val="TableParagraph"/>
              <w:spacing w:line="273" w:lineRule="exact" w:before="1"/>
              <w:rPr>
                <w:sz w:val="24"/>
              </w:rPr>
            </w:pPr>
            <w:r>
              <w:rPr>
                <w:sz w:val="24"/>
              </w:rPr>
              <w:t>D-</w:t>
            </w:r>
          </w:p>
        </w:tc>
      </w:tr>
      <w:tr>
        <w:trPr>
          <w:trHeight w:val="292" w:hRule="atLeast"/>
        </w:trPr>
        <w:tc>
          <w:tcPr>
            <w:tcW w:w="1440" w:type="dxa"/>
          </w:tcPr>
          <w:p>
            <w:pPr>
              <w:pStyle w:val="TableParagraph"/>
              <w:rPr>
                <w:sz w:val="24"/>
              </w:rPr>
            </w:pPr>
            <w:r>
              <w:rPr>
                <w:sz w:val="24"/>
              </w:rPr>
              <w:t>0-49</w:t>
            </w:r>
          </w:p>
        </w:tc>
        <w:tc>
          <w:tcPr>
            <w:tcW w:w="1441" w:type="dxa"/>
          </w:tcPr>
          <w:p>
            <w:pPr>
              <w:pStyle w:val="TableParagraph"/>
              <w:rPr>
                <w:sz w:val="24"/>
              </w:rPr>
            </w:pPr>
            <w:r>
              <w:rPr>
                <w:sz w:val="24"/>
              </w:rPr>
              <w:t>F</w:t>
            </w:r>
          </w:p>
        </w:tc>
      </w:tr>
    </w:tbl>
    <w:sectPr>
      <w:pgSz w:w="12240" w:h="15840"/>
      <w:pgMar w:header="0" w:footer="1044" w:top="1400" w:bottom="1240" w:left="12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6.929993pt;margin-top:728.815979pt;width:18.25pt;height:14pt;mso-position-horizontal-relative:page;mso-position-vertical-relative:page;z-index:-252123136" type="#_x0000_t202" filled="false" stroked="false">
          <v:textbox inset="0,0,0,0">
            <w:txbxContent>
              <w:p>
                <w:pPr>
                  <w:spacing w:line="264" w:lineRule="exact" w:before="0"/>
                  <w:ind w:left="60" w:right="0" w:firstLine="0"/>
                  <w:jc w:val="left"/>
                  <w:rPr>
                    <w:sz w:val="24"/>
                  </w:rPr>
                </w:pPr>
                <w:r>
                  <w:rPr/>
                  <w:fldChar w:fldCharType="begin"/>
                </w:r>
                <w:r>
                  <w:rPr>
                    <w:sz w:val="2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20" w:hanging="360"/>
      </w:pPr>
      <w:rPr>
        <w:rFonts w:hint="default" w:ascii="Wingdings" w:hAnsi="Wingdings" w:eastAsia="Wingdings" w:cs="Wingdings"/>
        <w:w w:val="100"/>
        <w:sz w:val="22"/>
        <w:szCs w:val="22"/>
        <w:lang w:val="en-ca" w:eastAsia="en-ca" w:bidi="en-ca"/>
      </w:rPr>
    </w:lvl>
    <w:lvl w:ilvl="1">
      <w:start w:val="0"/>
      <w:numFmt w:val="bullet"/>
      <w:lvlText w:val="•"/>
      <w:lvlJc w:val="left"/>
      <w:pPr>
        <w:ind w:left="1804" w:hanging="360"/>
      </w:pPr>
      <w:rPr>
        <w:rFonts w:hint="default"/>
        <w:lang w:val="en-ca" w:eastAsia="en-ca" w:bidi="en-ca"/>
      </w:rPr>
    </w:lvl>
    <w:lvl w:ilvl="2">
      <w:start w:val="0"/>
      <w:numFmt w:val="bullet"/>
      <w:lvlText w:val="•"/>
      <w:lvlJc w:val="left"/>
      <w:pPr>
        <w:ind w:left="2688" w:hanging="360"/>
      </w:pPr>
      <w:rPr>
        <w:rFonts w:hint="default"/>
        <w:lang w:val="en-ca" w:eastAsia="en-ca" w:bidi="en-ca"/>
      </w:rPr>
    </w:lvl>
    <w:lvl w:ilvl="3">
      <w:start w:val="0"/>
      <w:numFmt w:val="bullet"/>
      <w:lvlText w:val="•"/>
      <w:lvlJc w:val="left"/>
      <w:pPr>
        <w:ind w:left="3572" w:hanging="360"/>
      </w:pPr>
      <w:rPr>
        <w:rFonts w:hint="default"/>
        <w:lang w:val="en-ca" w:eastAsia="en-ca" w:bidi="en-ca"/>
      </w:rPr>
    </w:lvl>
    <w:lvl w:ilvl="4">
      <w:start w:val="0"/>
      <w:numFmt w:val="bullet"/>
      <w:lvlText w:val="•"/>
      <w:lvlJc w:val="left"/>
      <w:pPr>
        <w:ind w:left="4456" w:hanging="360"/>
      </w:pPr>
      <w:rPr>
        <w:rFonts w:hint="default"/>
        <w:lang w:val="en-ca" w:eastAsia="en-ca" w:bidi="en-ca"/>
      </w:rPr>
    </w:lvl>
    <w:lvl w:ilvl="5">
      <w:start w:val="0"/>
      <w:numFmt w:val="bullet"/>
      <w:lvlText w:val="•"/>
      <w:lvlJc w:val="left"/>
      <w:pPr>
        <w:ind w:left="5340" w:hanging="360"/>
      </w:pPr>
      <w:rPr>
        <w:rFonts w:hint="default"/>
        <w:lang w:val="en-ca" w:eastAsia="en-ca" w:bidi="en-ca"/>
      </w:rPr>
    </w:lvl>
    <w:lvl w:ilvl="6">
      <w:start w:val="0"/>
      <w:numFmt w:val="bullet"/>
      <w:lvlText w:val="•"/>
      <w:lvlJc w:val="left"/>
      <w:pPr>
        <w:ind w:left="6224" w:hanging="360"/>
      </w:pPr>
      <w:rPr>
        <w:rFonts w:hint="default"/>
        <w:lang w:val="en-ca" w:eastAsia="en-ca" w:bidi="en-ca"/>
      </w:rPr>
    </w:lvl>
    <w:lvl w:ilvl="7">
      <w:start w:val="0"/>
      <w:numFmt w:val="bullet"/>
      <w:lvlText w:val="•"/>
      <w:lvlJc w:val="left"/>
      <w:pPr>
        <w:ind w:left="7108" w:hanging="360"/>
      </w:pPr>
      <w:rPr>
        <w:rFonts w:hint="default"/>
        <w:lang w:val="en-ca" w:eastAsia="en-ca" w:bidi="en-ca"/>
      </w:rPr>
    </w:lvl>
    <w:lvl w:ilvl="8">
      <w:start w:val="0"/>
      <w:numFmt w:val="bullet"/>
      <w:lvlText w:val="•"/>
      <w:lvlJc w:val="left"/>
      <w:pPr>
        <w:ind w:left="7992" w:hanging="360"/>
      </w:pPr>
      <w:rPr>
        <w:rFonts w:hint="default"/>
        <w:lang w:val="en-ca" w:eastAsia="en-ca" w:bidi="en-ca"/>
      </w:rPr>
    </w:lvl>
  </w:abstractNum>
  <w:abstractNum w:abstractNumId="3">
    <w:multiLevelType w:val="hybridMultilevel"/>
    <w:lvl w:ilvl="0">
      <w:start w:val="0"/>
      <w:numFmt w:val="bullet"/>
      <w:lvlText w:val="o"/>
      <w:lvlJc w:val="left"/>
      <w:pPr>
        <w:ind w:left="920" w:hanging="360"/>
      </w:pPr>
      <w:rPr>
        <w:rFonts w:hint="default" w:ascii="Courier New" w:hAnsi="Courier New" w:eastAsia="Courier New" w:cs="Courier New"/>
        <w:w w:val="100"/>
        <w:sz w:val="22"/>
        <w:szCs w:val="22"/>
        <w:lang w:val="en-ca" w:eastAsia="en-ca" w:bidi="en-ca"/>
      </w:rPr>
    </w:lvl>
    <w:lvl w:ilvl="1">
      <w:start w:val="0"/>
      <w:numFmt w:val="bullet"/>
      <w:lvlText w:val="•"/>
      <w:lvlJc w:val="left"/>
      <w:pPr>
        <w:ind w:left="1804" w:hanging="360"/>
      </w:pPr>
      <w:rPr>
        <w:rFonts w:hint="default"/>
        <w:lang w:val="en-ca" w:eastAsia="en-ca" w:bidi="en-ca"/>
      </w:rPr>
    </w:lvl>
    <w:lvl w:ilvl="2">
      <w:start w:val="0"/>
      <w:numFmt w:val="bullet"/>
      <w:lvlText w:val="•"/>
      <w:lvlJc w:val="left"/>
      <w:pPr>
        <w:ind w:left="2688" w:hanging="360"/>
      </w:pPr>
      <w:rPr>
        <w:rFonts w:hint="default"/>
        <w:lang w:val="en-ca" w:eastAsia="en-ca" w:bidi="en-ca"/>
      </w:rPr>
    </w:lvl>
    <w:lvl w:ilvl="3">
      <w:start w:val="0"/>
      <w:numFmt w:val="bullet"/>
      <w:lvlText w:val="•"/>
      <w:lvlJc w:val="left"/>
      <w:pPr>
        <w:ind w:left="3572" w:hanging="360"/>
      </w:pPr>
      <w:rPr>
        <w:rFonts w:hint="default"/>
        <w:lang w:val="en-ca" w:eastAsia="en-ca" w:bidi="en-ca"/>
      </w:rPr>
    </w:lvl>
    <w:lvl w:ilvl="4">
      <w:start w:val="0"/>
      <w:numFmt w:val="bullet"/>
      <w:lvlText w:val="•"/>
      <w:lvlJc w:val="left"/>
      <w:pPr>
        <w:ind w:left="4456" w:hanging="360"/>
      </w:pPr>
      <w:rPr>
        <w:rFonts w:hint="default"/>
        <w:lang w:val="en-ca" w:eastAsia="en-ca" w:bidi="en-ca"/>
      </w:rPr>
    </w:lvl>
    <w:lvl w:ilvl="5">
      <w:start w:val="0"/>
      <w:numFmt w:val="bullet"/>
      <w:lvlText w:val="•"/>
      <w:lvlJc w:val="left"/>
      <w:pPr>
        <w:ind w:left="5340" w:hanging="360"/>
      </w:pPr>
      <w:rPr>
        <w:rFonts w:hint="default"/>
        <w:lang w:val="en-ca" w:eastAsia="en-ca" w:bidi="en-ca"/>
      </w:rPr>
    </w:lvl>
    <w:lvl w:ilvl="6">
      <w:start w:val="0"/>
      <w:numFmt w:val="bullet"/>
      <w:lvlText w:val="•"/>
      <w:lvlJc w:val="left"/>
      <w:pPr>
        <w:ind w:left="6224" w:hanging="360"/>
      </w:pPr>
      <w:rPr>
        <w:rFonts w:hint="default"/>
        <w:lang w:val="en-ca" w:eastAsia="en-ca" w:bidi="en-ca"/>
      </w:rPr>
    </w:lvl>
    <w:lvl w:ilvl="7">
      <w:start w:val="0"/>
      <w:numFmt w:val="bullet"/>
      <w:lvlText w:val="•"/>
      <w:lvlJc w:val="left"/>
      <w:pPr>
        <w:ind w:left="7108" w:hanging="360"/>
      </w:pPr>
      <w:rPr>
        <w:rFonts w:hint="default"/>
        <w:lang w:val="en-ca" w:eastAsia="en-ca" w:bidi="en-ca"/>
      </w:rPr>
    </w:lvl>
    <w:lvl w:ilvl="8">
      <w:start w:val="0"/>
      <w:numFmt w:val="bullet"/>
      <w:lvlText w:val="•"/>
      <w:lvlJc w:val="left"/>
      <w:pPr>
        <w:ind w:left="7992" w:hanging="360"/>
      </w:pPr>
      <w:rPr>
        <w:rFonts w:hint="default"/>
        <w:lang w:val="en-ca" w:eastAsia="en-ca" w:bidi="en-ca"/>
      </w:rPr>
    </w:lvl>
  </w:abstractNum>
  <w:abstractNum w:abstractNumId="2">
    <w:multiLevelType w:val="hybridMultilevel"/>
    <w:lvl w:ilvl="0">
      <w:start w:val="0"/>
      <w:numFmt w:val="bullet"/>
      <w:lvlText w:val="o"/>
      <w:lvlJc w:val="left"/>
      <w:pPr>
        <w:ind w:left="920" w:hanging="360"/>
      </w:pPr>
      <w:rPr>
        <w:rFonts w:hint="default" w:ascii="Courier New" w:hAnsi="Courier New" w:eastAsia="Courier New" w:cs="Courier New"/>
        <w:w w:val="100"/>
        <w:sz w:val="22"/>
        <w:szCs w:val="22"/>
        <w:lang w:val="en-ca" w:eastAsia="en-ca" w:bidi="en-ca"/>
      </w:rPr>
    </w:lvl>
    <w:lvl w:ilvl="1">
      <w:start w:val="0"/>
      <w:numFmt w:val="bullet"/>
      <w:lvlText w:val="•"/>
      <w:lvlJc w:val="left"/>
      <w:pPr>
        <w:ind w:left="1804" w:hanging="360"/>
      </w:pPr>
      <w:rPr>
        <w:rFonts w:hint="default"/>
        <w:lang w:val="en-ca" w:eastAsia="en-ca" w:bidi="en-ca"/>
      </w:rPr>
    </w:lvl>
    <w:lvl w:ilvl="2">
      <w:start w:val="0"/>
      <w:numFmt w:val="bullet"/>
      <w:lvlText w:val="•"/>
      <w:lvlJc w:val="left"/>
      <w:pPr>
        <w:ind w:left="2688" w:hanging="360"/>
      </w:pPr>
      <w:rPr>
        <w:rFonts w:hint="default"/>
        <w:lang w:val="en-ca" w:eastAsia="en-ca" w:bidi="en-ca"/>
      </w:rPr>
    </w:lvl>
    <w:lvl w:ilvl="3">
      <w:start w:val="0"/>
      <w:numFmt w:val="bullet"/>
      <w:lvlText w:val="•"/>
      <w:lvlJc w:val="left"/>
      <w:pPr>
        <w:ind w:left="3572" w:hanging="360"/>
      </w:pPr>
      <w:rPr>
        <w:rFonts w:hint="default"/>
        <w:lang w:val="en-ca" w:eastAsia="en-ca" w:bidi="en-ca"/>
      </w:rPr>
    </w:lvl>
    <w:lvl w:ilvl="4">
      <w:start w:val="0"/>
      <w:numFmt w:val="bullet"/>
      <w:lvlText w:val="•"/>
      <w:lvlJc w:val="left"/>
      <w:pPr>
        <w:ind w:left="4456" w:hanging="360"/>
      </w:pPr>
      <w:rPr>
        <w:rFonts w:hint="default"/>
        <w:lang w:val="en-ca" w:eastAsia="en-ca" w:bidi="en-ca"/>
      </w:rPr>
    </w:lvl>
    <w:lvl w:ilvl="5">
      <w:start w:val="0"/>
      <w:numFmt w:val="bullet"/>
      <w:lvlText w:val="•"/>
      <w:lvlJc w:val="left"/>
      <w:pPr>
        <w:ind w:left="5340" w:hanging="360"/>
      </w:pPr>
      <w:rPr>
        <w:rFonts w:hint="default"/>
        <w:lang w:val="en-ca" w:eastAsia="en-ca" w:bidi="en-ca"/>
      </w:rPr>
    </w:lvl>
    <w:lvl w:ilvl="6">
      <w:start w:val="0"/>
      <w:numFmt w:val="bullet"/>
      <w:lvlText w:val="•"/>
      <w:lvlJc w:val="left"/>
      <w:pPr>
        <w:ind w:left="6224" w:hanging="360"/>
      </w:pPr>
      <w:rPr>
        <w:rFonts w:hint="default"/>
        <w:lang w:val="en-ca" w:eastAsia="en-ca" w:bidi="en-ca"/>
      </w:rPr>
    </w:lvl>
    <w:lvl w:ilvl="7">
      <w:start w:val="0"/>
      <w:numFmt w:val="bullet"/>
      <w:lvlText w:val="•"/>
      <w:lvlJc w:val="left"/>
      <w:pPr>
        <w:ind w:left="7108" w:hanging="360"/>
      </w:pPr>
      <w:rPr>
        <w:rFonts w:hint="default"/>
        <w:lang w:val="en-ca" w:eastAsia="en-ca" w:bidi="en-ca"/>
      </w:rPr>
    </w:lvl>
    <w:lvl w:ilvl="8">
      <w:start w:val="0"/>
      <w:numFmt w:val="bullet"/>
      <w:lvlText w:val="•"/>
      <w:lvlJc w:val="left"/>
      <w:pPr>
        <w:ind w:left="7992" w:hanging="360"/>
      </w:pPr>
      <w:rPr>
        <w:rFonts w:hint="default"/>
        <w:lang w:val="en-ca" w:eastAsia="en-ca" w:bidi="en-ca"/>
      </w:rPr>
    </w:lvl>
  </w:abstractNum>
  <w:abstractNum w:abstractNumId="1">
    <w:multiLevelType w:val="hybridMultilevel"/>
    <w:lvl w:ilvl="0">
      <w:start w:val="0"/>
      <w:numFmt w:val="bullet"/>
      <w:lvlText w:val="o"/>
      <w:lvlJc w:val="left"/>
      <w:pPr>
        <w:ind w:left="920" w:hanging="360"/>
      </w:pPr>
      <w:rPr>
        <w:rFonts w:hint="default" w:ascii="Courier New" w:hAnsi="Courier New" w:eastAsia="Courier New" w:cs="Courier New"/>
        <w:w w:val="100"/>
        <w:sz w:val="22"/>
        <w:szCs w:val="22"/>
        <w:lang w:val="en-ca" w:eastAsia="en-ca" w:bidi="en-ca"/>
      </w:rPr>
    </w:lvl>
    <w:lvl w:ilvl="1">
      <w:start w:val="0"/>
      <w:numFmt w:val="bullet"/>
      <w:lvlText w:val="•"/>
      <w:lvlJc w:val="left"/>
      <w:pPr>
        <w:ind w:left="1804" w:hanging="360"/>
      </w:pPr>
      <w:rPr>
        <w:rFonts w:hint="default"/>
        <w:lang w:val="en-ca" w:eastAsia="en-ca" w:bidi="en-ca"/>
      </w:rPr>
    </w:lvl>
    <w:lvl w:ilvl="2">
      <w:start w:val="0"/>
      <w:numFmt w:val="bullet"/>
      <w:lvlText w:val="•"/>
      <w:lvlJc w:val="left"/>
      <w:pPr>
        <w:ind w:left="2688" w:hanging="360"/>
      </w:pPr>
      <w:rPr>
        <w:rFonts w:hint="default"/>
        <w:lang w:val="en-ca" w:eastAsia="en-ca" w:bidi="en-ca"/>
      </w:rPr>
    </w:lvl>
    <w:lvl w:ilvl="3">
      <w:start w:val="0"/>
      <w:numFmt w:val="bullet"/>
      <w:lvlText w:val="•"/>
      <w:lvlJc w:val="left"/>
      <w:pPr>
        <w:ind w:left="3572" w:hanging="360"/>
      </w:pPr>
      <w:rPr>
        <w:rFonts w:hint="default"/>
        <w:lang w:val="en-ca" w:eastAsia="en-ca" w:bidi="en-ca"/>
      </w:rPr>
    </w:lvl>
    <w:lvl w:ilvl="4">
      <w:start w:val="0"/>
      <w:numFmt w:val="bullet"/>
      <w:lvlText w:val="•"/>
      <w:lvlJc w:val="left"/>
      <w:pPr>
        <w:ind w:left="4456" w:hanging="360"/>
      </w:pPr>
      <w:rPr>
        <w:rFonts w:hint="default"/>
        <w:lang w:val="en-ca" w:eastAsia="en-ca" w:bidi="en-ca"/>
      </w:rPr>
    </w:lvl>
    <w:lvl w:ilvl="5">
      <w:start w:val="0"/>
      <w:numFmt w:val="bullet"/>
      <w:lvlText w:val="•"/>
      <w:lvlJc w:val="left"/>
      <w:pPr>
        <w:ind w:left="5340" w:hanging="360"/>
      </w:pPr>
      <w:rPr>
        <w:rFonts w:hint="default"/>
        <w:lang w:val="en-ca" w:eastAsia="en-ca" w:bidi="en-ca"/>
      </w:rPr>
    </w:lvl>
    <w:lvl w:ilvl="6">
      <w:start w:val="0"/>
      <w:numFmt w:val="bullet"/>
      <w:lvlText w:val="•"/>
      <w:lvlJc w:val="left"/>
      <w:pPr>
        <w:ind w:left="6224" w:hanging="360"/>
      </w:pPr>
      <w:rPr>
        <w:rFonts w:hint="default"/>
        <w:lang w:val="en-ca" w:eastAsia="en-ca" w:bidi="en-ca"/>
      </w:rPr>
    </w:lvl>
    <w:lvl w:ilvl="7">
      <w:start w:val="0"/>
      <w:numFmt w:val="bullet"/>
      <w:lvlText w:val="•"/>
      <w:lvlJc w:val="left"/>
      <w:pPr>
        <w:ind w:left="7108" w:hanging="360"/>
      </w:pPr>
      <w:rPr>
        <w:rFonts w:hint="default"/>
        <w:lang w:val="en-ca" w:eastAsia="en-ca" w:bidi="en-ca"/>
      </w:rPr>
    </w:lvl>
    <w:lvl w:ilvl="8">
      <w:start w:val="0"/>
      <w:numFmt w:val="bullet"/>
      <w:lvlText w:val="•"/>
      <w:lvlJc w:val="left"/>
      <w:pPr>
        <w:ind w:left="7992" w:hanging="360"/>
      </w:pPr>
      <w:rPr>
        <w:rFonts w:hint="default"/>
        <w:lang w:val="en-ca" w:eastAsia="en-ca" w:bidi="en-ca"/>
      </w:rPr>
    </w:lvl>
  </w:abstractNum>
  <w:abstractNum w:abstractNumId="0">
    <w:multiLevelType w:val="hybridMultilevel"/>
    <w:lvl w:ilvl="0">
      <w:start w:val="0"/>
      <w:numFmt w:val="bullet"/>
      <w:lvlText w:val=""/>
      <w:lvlJc w:val="left"/>
      <w:pPr>
        <w:ind w:left="560" w:hanging="360"/>
      </w:pPr>
      <w:rPr>
        <w:rFonts w:hint="default"/>
        <w:w w:val="100"/>
        <w:lang w:val="en-ca" w:eastAsia="en-ca" w:bidi="en-ca"/>
      </w:rPr>
    </w:lvl>
    <w:lvl w:ilvl="1">
      <w:start w:val="0"/>
      <w:numFmt w:val="bullet"/>
      <w:lvlText w:val=""/>
      <w:lvlJc w:val="left"/>
      <w:pPr>
        <w:ind w:left="920" w:hanging="360"/>
      </w:pPr>
      <w:rPr>
        <w:rFonts w:hint="default" w:ascii="Symbol" w:hAnsi="Symbol" w:eastAsia="Symbol" w:cs="Symbol"/>
        <w:w w:val="100"/>
        <w:sz w:val="22"/>
        <w:szCs w:val="22"/>
        <w:lang w:val="en-ca" w:eastAsia="en-ca" w:bidi="en-ca"/>
      </w:rPr>
    </w:lvl>
    <w:lvl w:ilvl="2">
      <w:start w:val="0"/>
      <w:numFmt w:val="bullet"/>
      <w:lvlText w:val="•"/>
      <w:lvlJc w:val="left"/>
      <w:pPr>
        <w:ind w:left="1902" w:hanging="360"/>
      </w:pPr>
      <w:rPr>
        <w:rFonts w:hint="default"/>
        <w:lang w:val="en-ca" w:eastAsia="en-ca" w:bidi="en-ca"/>
      </w:rPr>
    </w:lvl>
    <w:lvl w:ilvl="3">
      <w:start w:val="0"/>
      <w:numFmt w:val="bullet"/>
      <w:lvlText w:val="•"/>
      <w:lvlJc w:val="left"/>
      <w:pPr>
        <w:ind w:left="2884" w:hanging="360"/>
      </w:pPr>
      <w:rPr>
        <w:rFonts w:hint="default"/>
        <w:lang w:val="en-ca" w:eastAsia="en-ca" w:bidi="en-ca"/>
      </w:rPr>
    </w:lvl>
    <w:lvl w:ilvl="4">
      <w:start w:val="0"/>
      <w:numFmt w:val="bullet"/>
      <w:lvlText w:val="•"/>
      <w:lvlJc w:val="left"/>
      <w:pPr>
        <w:ind w:left="3866" w:hanging="360"/>
      </w:pPr>
      <w:rPr>
        <w:rFonts w:hint="default"/>
        <w:lang w:val="en-ca" w:eastAsia="en-ca" w:bidi="en-ca"/>
      </w:rPr>
    </w:lvl>
    <w:lvl w:ilvl="5">
      <w:start w:val="0"/>
      <w:numFmt w:val="bullet"/>
      <w:lvlText w:val="•"/>
      <w:lvlJc w:val="left"/>
      <w:pPr>
        <w:ind w:left="4848" w:hanging="360"/>
      </w:pPr>
      <w:rPr>
        <w:rFonts w:hint="default"/>
        <w:lang w:val="en-ca" w:eastAsia="en-ca" w:bidi="en-ca"/>
      </w:rPr>
    </w:lvl>
    <w:lvl w:ilvl="6">
      <w:start w:val="0"/>
      <w:numFmt w:val="bullet"/>
      <w:lvlText w:val="•"/>
      <w:lvlJc w:val="left"/>
      <w:pPr>
        <w:ind w:left="5831" w:hanging="360"/>
      </w:pPr>
      <w:rPr>
        <w:rFonts w:hint="default"/>
        <w:lang w:val="en-ca" w:eastAsia="en-ca" w:bidi="en-ca"/>
      </w:rPr>
    </w:lvl>
    <w:lvl w:ilvl="7">
      <w:start w:val="0"/>
      <w:numFmt w:val="bullet"/>
      <w:lvlText w:val="•"/>
      <w:lvlJc w:val="left"/>
      <w:pPr>
        <w:ind w:left="6813" w:hanging="360"/>
      </w:pPr>
      <w:rPr>
        <w:rFonts w:hint="default"/>
        <w:lang w:val="en-ca" w:eastAsia="en-ca" w:bidi="en-ca"/>
      </w:rPr>
    </w:lvl>
    <w:lvl w:ilvl="8">
      <w:start w:val="0"/>
      <w:numFmt w:val="bullet"/>
      <w:lvlText w:val="•"/>
      <w:lvlJc w:val="left"/>
      <w:pPr>
        <w:ind w:left="7795" w:hanging="360"/>
      </w:pPr>
      <w:rPr>
        <w:rFonts w:hint="default"/>
        <w:lang w:val="en-ca" w:eastAsia="en-ca" w:bidi="en-c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ca" w:eastAsia="en-ca" w:bidi="en-ca"/>
    </w:rPr>
  </w:style>
  <w:style w:styleId="BodyText" w:type="paragraph">
    <w:name w:val="Body Text"/>
    <w:basedOn w:val="Normal"/>
    <w:uiPriority w:val="1"/>
    <w:qFormat/>
    <w:pPr>
      <w:ind w:left="560"/>
    </w:pPr>
    <w:rPr>
      <w:rFonts w:ascii="Calibri" w:hAnsi="Calibri" w:eastAsia="Calibri" w:cs="Calibri"/>
      <w:sz w:val="22"/>
      <w:szCs w:val="22"/>
      <w:lang w:val="en-ca" w:eastAsia="en-ca" w:bidi="en-ca"/>
    </w:rPr>
  </w:style>
  <w:style w:styleId="Heading1" w:type="paragraph">
    <w:name w:val="Heading 1"/>
    <w:basedOn w:val="Normal"/>
    <w:uiPriority w:val="1"/>
    <w:qFormat/>
    <w:pPr>
      <w:ind w:left="200"/>
      <w:outlineLvl w:val="1"/>
    </w:pPr>
    <w:rPr>
      <w:rFonts w:ascii="Calibri" w:hAnsi="Calibri" w:eastAsia="Calibri" w:cs="Calibri"/>
      <w:b/>
      <w:bCs/>
      <w:sz w:val="28"/>
      <w:szCs w:val="28"/>
      <w:lang w:val="en-ca" w:eastAsia="en-ca" w:bidi="en-ca"/>
    </w:rPr>
  </w:style>
  <w:style w:styleId="Heading2" w:type="paragraph">
    <w:name w:val="Heading 2"/>
    <w:basedOn w:val="Normal"/>
    <w:uiPriority w:val="1"/>
    <w:qFormat/>
    <w:pPr>
      <w:spacing w:line="341" w:lineRule="exact"/>
      <w:ind w:left="200"/>
      <w:outlineLvl w:val="2"/>
    </w:pPr>
    <w:rPr>
      <w:rFonts w:ascii="Calibri" w:hAnsi="Calibri" w:eastAsia="Calibri" w:cs="Calibri"/>
      <w:b/>
      <w:bCs/>
      <w:i/>
      <w:sz w:val="28"/>
      <w:szCs w:val="28"/>
      <w:lang w:val="en-ca" w:eastAsia="en-ca" w:bidi="en-ca"/>
    </w:rPr>
  </w:style>
  <w:style w:styleId="Heading3" w:type="paragraph">
    <w:name w:val="Heading 3"/>
    <w:basedOn w:val="Normal"/>
    <w:uiPriority w:val="1"/>
    <w:qFormat/>
    <w:pPr>
      <w:spacing w:before="39"/>
      <w:ind w:left="200"/>
      <w:outlineLvl w:val="3"/>
    </w:pPr>
    <w:rPr>
      <w:rFonts w:ascii="Calibri" w:hAnsi="Calibri" w:eastAsia="Calibri" w:cs="Calibri"/>
      <w:b/>
      <w:bCs/>
      <w:sz w:val="22"/>
      <w:szCs w:val="22"/>
      <w:lang w:val="en-ca" w:eastAsia="en-ca" w:bidi="en-ca"/>
    </w:rPr>
  </w:style>
  <w:style w:styleId="ListParagraph" w:type="paragraph">
    <w:name w:val="List Paragraph"/>
    <w:basedOn w:val="Normal"/>
    <w:uiPriority w:val="1"/>
    <w:qFormat/>
    <w:pPr>
      <w:ind w:left="560" w:hanging="360"/>
    </w:pPr>
    <w:rPr>
      <w:rFonts w:ascii="Calibri" w:hAnsi="Calibri" w:eastAsia="Calibri" w:cs="Calibri"/>
      <w:lang w:val="en-ca" w:eastAsia="en-ca" w:bidi="en-ca"/>
    </w:rPr>
  </w:style>
  <w:style w:styleId="TableParagraph" w:type="paragraph">
    <w:name w:val="Table Paragraph"/>
    <w:basedOn w:val="Normal"/>
    <w:uiPriority w:val="1"/>
    <w:qFormat/>
    <w:pPr>
      <w:spacing w:line="272" w:lineRule="exact"/>
      <w:ind w:left="107"/>
    </w:pPr>
    <w:rPr>
      <w:rFonts w:ascii="Calibri" w:hAnsi="Calibri" w:eastAsia="Calibri" w:cs="Calibri"/>
      <w:lang w:val="en-ca" w:eastAsia="en-ca" w:bidi="en-ca"/>
    </w:rPr>
  </w:style>
</w:styles>
</file>

<file path=word/_rels/document.xml.rels><?xml version="1.0" encoding="UTF-8" standalone="yes"?>
<Relationships xmlns="http://schemas.openxmlformats.org/package/2006/relationships"><Relationship Id="rId13" Type="http://schemas.openxmlformats.org/officeDocument/2006/relationships/hyperlink" Target="https://teachingclimate-2021.sites.ucsc.edu/" TargetMode="External"/><Relationship Id="rId18" Type="http://schemas.openxmlformats.org/officeDocument/2006/relationships/hyperlink" Target="https://www.cbc.ca/radio/quirks/nov-20-finding-the-covid-resistors-herzberg-gold-medal-winner-green-glitter-and-more-1.6254083/why-useful-delusions-can-sometimes-make-us-vulnerable-to-misinformation-1.6254085" TargetMode="External"/><Relationship Id="rId26" Type="http://schemas.openxmlformats.org/officeDocument/2006/relationships/hyperlink" Target="https://www.onondaganation.org/culture/wampum/two-row-wampum-belt-guswenta/" TargetMode="External"/><Relationship Id="rId39" Type="http://schemas.openxmlformats.org/officeDocument/2006/relationships/hyperlink" Target="https://www.thelancet.com/journals/lancet/article/PIIS0140-6736(22)01540-9/fulltext#seccestitle480" TargetMode="External"/><Relationship Id="rId21" Type="http://schemas.openxmlformats.org/officeDocument/2006/relationships/hyperlink" Target="https://blogs.scientificamerican.com/observations/how-to-talk-effectively-about-climate-change/" TargetMode="External"/><Relationship Id="rId34" Type="http://schemas.openxmlformats.org/officeDocument/2006/relationships/hyperlink" Target="https://insideclimatenews.org/news/15072019/world-hunger-rising-climate-shocks-and-conflicts-and-economic-slumps-slow-recovery/" TargetMode="External"/><Relationship Id="rId42" Type="http://schemas.openxmlformats.org/officeDocument/2006/relationships/hyperlink" Target="http://www.thelancet.com/journals/lancet/article/PIIS0140-6736(22)01540-" TargetMode="External"/><Relationship Id="rId47" Type="http://schemas.openxmlformats.org/officeDocument/2006/relationships/hyperlink" Target="https://sas.mcmaster.ca/" TargetMode="External"/><Relationship Id="rId50"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hyperlink" Target="https://learn.climateinteractive.org/course/mastering-en-roads" TargetMode="External"/><Relationship Id="rId2" Type="http://schemas.openxmlformats.org/officeDocument/2006/relationships/fontTable" Target="fontTable.xml"/><Relationship Id="rId16" Type="http://schemas.openxmlformats.org/officeDocument/2006/relationships/hyperlink" Target="https://climateinstitute.ca/reports/indigenous-perspectives/" TargetMode="External"/><Relationship Id="rId29" Type="http://schemas.openxmlformats.org/officeDocument/2006/relationships/hyperlink" Target="https://www.thelancet.com/journals/lancet/article/PIIS0140-6736(22)01540-9/fulltext#seccestitle90" TargetMode="External"/><Relationship Id="rId11" Type="http://schemas.openxmlformats.org/officeDocument/2006/relationships/hyperlink" Target="https://www.ipcc.ch/" TargetMode="External"/><Relationship Id="rId24" Type="http://schemas.openxmlformats.org/officeDocument/2006/relationships/hyperlink" Target="https://www.canada.ca/en/environment-climate-change/services/climate-change/indigenous-partnership.html" TargetMode="External"/><Relationship Id="rId32" Type="http://schemas.openxmlformats.org/officeDocument/2006/relationships/hyperlink" Target="https://www.unicef.org/reports/thirsting-future" TargetMode="External"/><Relationship Id="rId37" Type="http://schemas.openxmlformats.org/officeDocument/2006/relationships/hyperlink" Target="https://doi.org/10.1002/wcc.733" TargetMode="External"/><Relationship Id="rId40" Type="http://schemas.openxmlformats.org/officeDocument/2006/relationships/hyperlink" Target="https://history.aip.org/climate/summary.htm" TargetMode="External"/><Relationship Id="rId45" Type="http://schemas.openxmlformats.org/officeDocument/2006/relationships/hyperlink" Target="https://www.scientificamerican.com/article/this-hot-summer-is-one-of-the-coolest-of-the-rest-of-our-lives/?utm_source=pocket_collection_story" TargetMode="External"/><Relationship Id="rId53" Type="http://schemas.openxmlformats.org/officeDocument/2006/relationships/customXml" Target="../customXml/item1.xml"/><Relationship Id="rId5" Type="http://schemas.openxmlformats.org/officeDocument/2006/relationships/footer" Target="footer1.xml"/><Relationship Id="rId10" Type="http://schemas.openxmlformats.org/officeDocument/2006/relationships/hyperlink" Target="https://www.canada.ca/en/services/environment/weather/climatechange.html" TargetMode="External"/><Relationship Id="rId19" Type="http://schemas.openxmlformats.org/officeDocument/2006/relationships/hyperlink" Target="https://ideas.time.com/2012/04/10/when-grownups-bully-climate-scientists/" TargetMode="External"/><Relationship Id="rId31" Type="http://schemas.openxmlformats.org/officeDocument/2006/relationships/hyperlink" Target="https://www.cbsnews.com/news/climate-change-coronavirus-bats-study/" TargetMode="External"/><Relationship Id="rId44" Type="http://schemas.openxmlformats.org/officeDocument/2006/relationships/hyperlink" Target="https://www.canada.ca/en/environment-climate-change/services/top-ten-weather-stories.html" TargetMode="External"/><Relationship Id="rId52"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hyperlink" Target="https://en-roads.climateinteractive.org/scenario.html?v=21.12.0" TargetMode="External"/><Relationship Id="rId14" Type="http://schemas.openxmlformats.org/officeDocument/2006/relationships/hyperlink" Target="https://climateatlas.ca/" TargetMode="External"/><Relationship Id="rId22" Type="http://schemas.openxmlformats.org/officeDocument/2006/relationships/hyperlink" Target="https://www.cbc.ca/radio/thecurrent/the-current-for-sept-23-2021-1.6186513/talking-about-climate-change-requires-honesty-and-connection-not-just-arguing-says-author-1.6174126" TargetMode="External"/><Relationship Id="rId27" Type="http://schemas.openxmlformats.org/officeDocument/2006/relationships/hyperlink" Target="https://www.indiantime.net/story/2010/08/05/cultural-corner/the-dish-with-one-spoon/7510.html" TargetMode="External"/><Relationship Id="rId30" Type="http://schemas.openxmlformats.org/officeDocument/2006/relationships/hyperlink" Target="https://thisviewoflife.com/social-science-contributions-to-the-study-of-zoonotic-spillover-normal-accidents-and-treadmill-theory/" TargetMode="External"/><Relationship Id="rId35" Type="http://schemas.openxmlformats.org/officeDocument/2006/relationships/hyperlink" Target="https://www.ipcc.ch/srccl/" TargetMode="External"/><Relationship Id="rId43" Type="http://schemas.openxmlformats.org/officeDocument/2006/relationships/hyperlink" Target="https://www.nrcan.gc.ca/climate-change/impacts-adaptations/canadas-changing-climate-report/21177" TargetMode="External"/><Relationship Id="rId48" Type="http://schemas.openxmlformats.org/officeDocument/2006/relationships/hyperlink" Target="mailto:sas@mcmaster.ca" TargetMode="External"/><Relationship Id="rId8" Type="http://schemas.openxmlformats.org/officeDocument/2006/relationships/hyperlink" Target="https://www.thelancet.com/countdown-health-climate" TargetMode="External"/><Relationship Id="rId51" Type="http://schemas.openxmlformats.org/officeDocument/2006/relationships/hyperlink" Target="https://secretariat.mcmaster.ca/app/uploads/Code-of-Student-Rights-and-Responsibilities.pdf" TargetMode="External"/><Relationship Id="rId3" Type="http://schemas.openxmlformats.org/officeDocument/2006/relationships/theme" Target="theme/theme1.xml"/><Relationship Id="rId12" Type="http://schemas.openxmlformats.org/officeDocument/2006/relationships/hyperlink" Target="https://www.climateinteractive.org/" TargetMode="External"/><Relationship Id="rId17" Type="http://schemas.openxmlformats.org/officeDocument/2006/relationships/hyperlink" Target="http://cll.mcmaster.ca/COU/degree/undergraduate.html" TargetMode="External"/><Relationship Id="rId25" Type="http://schemas.openxmlformats.org/officeDocument/2006/relationships/hyperlink" Target="https://doi.org/10.1007/s10584-019-02632-1" TargetMode="External"/><Relationship Id="rId33" Type="http://schemas.openxmlformats.org/officeDocument/2006/relationships/hyperlink" Target="https://www.nytimes.com/interactive/2017/02/17/world/americas/mexico-city-sinking.html" TargetMode="External"/><Relationship Id="rId38" Type="http://schemas.openxmlformats.org/officeDocument/2006/relationships/hyperlink" Target="https://www.climateinteractive.org/tools/climate-action-simulation/" TargetMode="External"/><Relationship Id="rId46" Type="http://schemas.openxmlformats.org/officeDocument/2006/relationships/hyperlink" Target="http://www.mcmaster.ca/academicintegrity" TargetMode="External"/><Relationship Id="rId20" Type="http://schemas.openxmlformats.org/officeDocument/2006/relationships/hyperlink" Target="https://davidsuzuki.org/what-you-can-do/how-and-why-to-have-climate-change-conversations/" TargetMode="External"/><Relationship Id="rId41" Type="http://schemas.openxmlformats.org/officeDocument/2006/relationships/hyperlink" Target="https://www.thelancet.com/journals/lancet/article/PIIS0140-6736(22)01540-9/fulltext#seccestitle220" TargetMode="External"/><Relationship Id="rId54"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ghooks@mcmaster.ca" TargetMode="External"/><Relationship Id="rId15" Type="http://schemas.openxmlformats.org/officeDocument/2006/relationships/hyperlink" Target="https://www.nytimes.com/interactive/2021/12/13/opinion/climate-change-effects-countries.html" TargetMode="External"/><Relationship Id="rId23" Type="http://schemas.openxmlformats.org/officeDocument/2006/relationships/hyperlink" Target="https://www.nytimes.com/interactive/2022/12/15/opinion/how-reduce-carbon-footprint-climate-change.html" TargetMode="External"/><Relationship Id="rId28" Type="http://schemas.openxmlformats.org/officeDocument/2006/relationships/hyperlink" Target="https://doi.org/10.1002/wcc.554" TargetMode="External"/><Relationship Id="rId36" Type="http://schemas.openxmlformats.org/officeDocument/2006/relationships/hyperlink" Target="https://www.thelancet.com/journals/lancet/article/PIIS0140-6736(22)01540-9/fulltext#seccestitle430" TargetMode="External"/><Relationship Id="rId49"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3B250-4BBE-4EC1-B4B3-21AB4E253DEE}"/>
</file>

<file path=customXml/itemProps2.xml><?xml version="1.0" encoding="utf-8"?>
<ds:datastoreItem xmlns:ds="http://schemas.openxmlformats.org/officeDocument/2006/customXml" ds:itemID="{F2FC1D4A-C3DE-4603-8A62-43E85408501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2023-01-04T16:53:20Z</dcterms:created>
  <dcterms:modified xsi:type="dcterms:W3CDTF">2023-01-04T16:53:20Z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Word for Microsoft 365</vt:lpwstr>
  </property>
  <property fmtid="{D5CDD505-2E9C-101B-9397-08002B2CF9AE}" pid="4" name="LastSaved">
    <vt:filetime>2023-01-04T00:00:00Z</vt:filetime>
  </property>
</Properties>
</file>